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F9" w:rsidRPr="005B2470" w:rsidRDefault="00554DF9" w:rsidP="00022717">
      <w:pPr>
        <w:pStyle w:val="Body1"/>
        <w:jc w:val="both"/>
        <w:rPr>
          <w:rFonts w:ascii="Arial" w:hAnsi="Arial" w:cs="Arial"/>
          <w:b/>
          <w:color w:val="auto"/>
          <w:szCs w:val="22"/>
          <w:u w:val="single"/>
          <w:lang w:eastAsia="ja-JP"/>
        </w:rPr>
      </w:pPr>
    </w:p>
    <w:p w:rsidR="00525B45" w:rsidRPr="005B2470" w:rsidRDefault="00525B45" w:rsidP="00022717">
      <w:pPr>
        <w:pStyle w:val="Body1"/>
        <w:jc w:val="both"/>
        <w:rPr>
          <w:rFonts w:ascii="Arial" w:hAnsi="Arial" w:cs="Arial"/>
          <w:b/>
          <w:color w:val="auto"/>
          <w:szCs w:val="22"/>
          <w:u w:val="single"/>
        </w:rPr>
      </w:pPr>
      <w:r w:rsidRPr="005B2470">
        <w:rPr>
          <w:rFonts w:ascii="Arial" w:hAnsi="Arial" w:cs="Arial"/>
          <w:b/>
          <w:color w:val="auto"/>
          <w:szCs w:val="22"/>
          <w:u w:val="single"/>
        </w:rPr>
        <w:t xml:space="preserve">European Union Measures against Iran - Council Regulation 267/2012 dated 23 March 2012 - Frequently Asked Questions – Updated on </w:t>
      </w:r>
      <w:r w:rsidR="00432C96" w:rsidRPr="005B2470">
        <w:rPr>
          <w:rFonts w:ascii="Arial" w:hAnsi="Arial" w:cs="Arial"/>
          <w:b/>
          <w:color w:val="auto"/>
          <w:szCs w:val="22"/>
          <w:u w:val="single"/>
        </w:rPr>
        <w:t>14</w:t>
      </w:r>
      <w:r w:rsidRPr="005B2470">
        <w:rPr>
          <w:rFonts w:ascii="Arial" w:hAnsi="Arial" w:cs="Arial"/>
          <w:b/>
          <w:color w:val="auto"/>
          <w:szCs w:val="22"/>
          <w:u w:val="single"/>
        </w:rPr>
        <w:t xml:space="preserve"> August 2012</w:t>
      </w:r>
    </w:p>
    <w:p w:rsidR="00525B45" w:rsidRPr="005B2470" w:rsidRDefault="00525B45" w:rsidP="00022717">
      <w:pPr>
        <w:pStyle w:val="Body1"/>
        <w:jc w:val="both"/>
        <w:rPr>
          <w:rFonts w:ascii="Arial" w:hAnsi="Arial" w:cs="Arial"/>
          <w:b/>
          <w:color w:val="auto"/>
          <w:szCs w:val="22"/>
        </w:rPr>
      </w:pPr>
    </w:p>
    <w:p w:rsidR="00525B45" w:rsidRPr="005B2470" w:rsidRDefault="00525B45" w:rsidP="006C1E80">
      <w:pPr>
        <w:pStyle w:val="Body1"/>
        <w:jc w:val="both"/>
        <w:rPr>
          <w:rFonts w:ascii="Arial" w:hAnsi="Arial" w:cs="Arial"/>
          <w:b/>
          <w:color w:val="auto"/>
          <w:szCs w:val="22"/>
        </w:rPr>
      </w:pPr>
      <w:r w:rsidRPr="005B2470">
        <w:rPr>
          <w:rFonts w:ascii="Arial" w:hAnsi="Arial" w:cs="Arial"/>
          <w:b/>
          <w:color w:val="auto"/>
          <w:szCs w:val="22"/>
        </w:rPr>
        <w:t>Background</w:t>
      </w:r>
    </w:p>
    <w:p w:rsidR="00525B45" w:rsidRPr="005B2470" w:rsidRDefault="00525B45" w:rsidP="006C1E80">
      <w:pPr>
        <w:pStyle w:val="Body1"/>
        <w:jc w:val="both"/>
        <w:rPr>
          <w:rFonts w:ascii="Arial" w:hAnsi="Arial" w:cs="Arial"/>
          <w:color w:val="auto"/>
          <w:szCs w:val="22"/>
        </w:rPr>
      </w:pPr>
      <w:r w:rsidRPr="005B2470">
        <w:rPr>
          <w:rFonts w:ascii="Arial" w:hAnsi="Arial" w:cs="Arial"/>
          <w:color w:val="auto"/>
          <w:szCs w:val="22"/>
        </w:rPr>
        <w:t>On 23 January 2012 The European Union Foreign Affairs Council agreed to introduce further measures impacting on trade that would or could support the furtherance of the Government of Iran’s nuclear aspirations. Specifically the Council introduced measures to prohibit the trade and transportation of crude oil, petroleum products and petrochemical products. Th</w:t>
      </w:r>
      <w:r w:rsidR="005B7634" w:rsidRPr="005B2470">
        <w:rPr>
          <w:rFonts w:ascii="Arial" w:hAnsi="Arial" w:cs="Arial"/>
          <w:color w:val="auto"/>
          <w:szCs w:val="22"/>
        </w:rPr>
        <w:t>os</w:t>
      </w:r>
      <w:r w:rsidRPr="005B2470">
        <w:rPr>
          <w:rFonts w:ascii="Arial" w:hAnsi="Arial" w:cs="Arial"/>
          <w:color w:val="auto"/>
          <w:szCs w:val="22"/>
        </w:rPr>
        <w:t xml:space="preserve">e measures were set out in </w:t>
      </w:r>
      <w:r w:rsidRPr="005B2470">
        <w:rPr>
          <w:rFonts w:ascii="Arial" w:hAnsi="Arial" w:cs="Arial"/>
          <w:b/>
          <w:color w:val="auto"/>
          <w:szCs w:val="22"/>
        </w:rPr>
        <w:t>Council Decision 2012/35</w:t>
      </w:r>
      <w:r w:rsidRPr="005B2470">
        <w:rPr>
          <w:rFonts w:ascii="Arial" w:hAnsi="Arial" w:cs="Arial"/>
          <w:color w:val="auto"/>
          <w:szCs w:val="22"/>
        </w:rPr>
        <w:t xml:space="preserve">. On 23 March 2012 the Council issued </w:t>
      </w:r>
      <w:r w:rsidRPr="005B2470">
        <w:rPr>
          <w:rFonts w:ascii="Arial" w:hAnsi="Arial" w:cs="Arial"/>
          <w:b/>
          <w:color w:val="auto"/>
          <w:szCs w:val="22"/>
        </w:rPr>
        <w:t xml:space="preserve">Regulation 267/2012 </w:t>
      </w:r>
      <w:r w:rsidRPr="005B2470">
        <w:rPr>
          <w:rFonts w:ascii="Arial" w:hAnsi="Arial" w:cs="Arial"/>
          <w:color w:val="auto"/>
          <w:szCs w:val="22"/>
        </w:rPr>
        <w:t>implementing the provisions of</w:t>
      </w:r>
      <w:r w:rsidR="00DA25AB" w:rsidRPr="005B2470">
        <w:rPr>
          <w:rFonts w:ascii="Arial" w:hAnsi="Arial" w:cs="Arial"/>
          <w:color w:val="auto"/>
          <w:szCs w:val="22"/>
        </w:rPr>
        <w:t xml:space="preserve"> </w:t>
      </w:r>
      <w:r w:rsidRPr="005B2470">
        <w:rPr>
          <w:rFonts w:ascii="Arial" w:hAnsi="Arial" w:cs="Arial"/>
          <w:color w:val="auto"/>
          <w:szCs w:val="22"/>
        </w:rPr>
        <w:t xml:space="preserve">the Decision and repealing </w:t>
      </w:r>
      <w:r w:rsidRPr="005B2470">
        <w:rPr>
          <w:rFonts w:ascii="Arial" w:hAnsi="Arial" w:cs="Arial"/>
          <w:b/>
          <w:color w:val="auto"/>
          <w:szCs w:val="22"/>
        </w:rPr>
        <w:t>Regulation 961/2010</w:t>
      </w:r>
      <w:r w:rsidRPr="005B2470">
        <w:rPr>
          <w:rFonts w:ascii="Arial" w:hAnsi="Arial" w:cs="Arial"/>
          <w:color w:val="auto"/>
          <w:szCs w:val="22"/>
        </w:rPr>
        <w:t>. The Group has since engaged in a process of ongoing correspondence and dialogue with the UK Treasury and the UK Business Department,</w:t>
      </w:r>
      <w:r w:rsidR="00DA25AB" w:rsidRPr="005B2470">
        <w:rPr>
          <w:rFonts w:ascii="Arial" w:hAnsi="Arial" w:cs="Arial"/>
          <w:color w:val="auto"/>
          <w:szCs w:val="22"/>
        </w:rPr>
        <w:t xml:space="preserve"> </w:t>
      </w:r>
      <w:r w:rsidRPr="005B2470">
        <w:rPr>
          <w:rFonts w:ascii="Arial" w:hAnsi="Arial" w:cs="Arial"/>
          <w:color w:val="auto"/>
          <w:szCs w:val="22"/>
        </w:rPr>
        <w:t>to discuss the interpretation and application of the Regulation.</w:t>
      </w:r>
    </w:p>
    <w:p w:rsidR="00525B45" w:rsidRPr="005B2470" w:rsidRDefault="00525B45" w:rsidP="006C1E80">
      <w:pPr>
        <w:pStyle w:val="Body1"/>
        <w:jc w:val="both"/>
        <w:rPr>
          <w:rFonts w:ascii="Arial" w:hAnsi="Arial" w:cs="Arial"/>
          <w:color w:val="auto"/>
          <w:szCs w:val="22"/>
        </w:rPr>
      </w:pPr>
      <w:r w:rsidRPr="005B2470">
        <w:rPr>
          <w:rFonts w:ascii="Arial" w:hAnsi="Arial" w:cs="Arial"/>
          <w:color w:val="auto"/>
          <w:szCs w:val="22"/>
        </w:rPr>
        <w:t xml:space="preserve">The </w:t>
      </w:r>
      <w:r w:rsidR="005B7634" w:rsidRPr="005B2470">
        <w:rPr>
          <w:rFonts w:ascii="Arial" w:hAnsi="Arial" w:cs="Arial"/>
          <w:color w:val="auto"/>
          <w:szCs w:val="22"/>
        </w:rPr>
        <w:t xml:space="preserve">following </w:t>
      </w:r>
      <w:r w:rsidRPr="005B2470">
        <w:rPr>
          <w:rFonts w:ascii="Arial" w:hAnsi="Arial" w:cs="Arial"/>
          <w:color w:val="auto"/>
          <w:szCs w:val="22"/>
        </w:rPr>
        <w:t>FAQs should be read in conjunction with, but supersede, the FAQs issued on 8 February 2012, 27 March 2012</w:t>
      </w:r>
      <w:r w:rsidR="005B7634" w:rsidRPr="005B2470">
        <w:rPr>
          <w:rFonts w:ascii="Arial" w:hAnsi="Arial" w:cs="Arial"/>
          <w:color w:val="auto"/>
          <w:szCs w:val="22"/>
        </w:rPr>
        <w:t xml:space="preserve"> and</w:t>
      </w:r>
      <w:r w:rsidR="00DA25AB" w:rsidRPr="005B2470">
        <w:rPr>
          <w:rFonts w:ascii="Arial" w:hAnsi="Arial" w:cs="Arial"/>
          <w:color w:val="auto"/>
          <w:szCs w:val="22"/>
        </w:rPr>
        <w:t xml:space="preserve"> </w:t>
      </w:r>
      <w:r w:rsidRPr="005B2470">
        <w:rPr>
          <w:rFonts w:ascii="Arial" w:hAnsi="Arial" w:cs="Arial"/>
          <w:color w:val="auto"/>
          <w:szCs w:val="22"/>
        </w:rPr>
        <w:t>cover the following current issues;</w:t>
      </w:r>
    </w:p>
    <w:p w:rsidR="00525B45" w:rsidRPr="005B2470" w:rsidRDefault="00525B45" w:rsidP="006C1E80">
      <w:pPr>
        <w:pStyle w:val="Body1"/>
        <w:numPr>
          <w:ilvl w:val="0"/>
          <w:numId w:val="1"/>
        </w:numPr>
        <w:jc w:val="both"/>
        <w:rPr>
          <w:rFonts w:ascii="Arial" w:hAnsi="Arial" w:cs="Arial"/>
          <w:color w:val="auto"/>
          <w:szCs w:val="22"/>
        </w:rPr>
      </w:pPr>
      <w:r w:rsidRPr="005B2470">
        <w:rPr>
          <w:rFonts w:ascii="Arial" w:hAnsi="Arial" w:cs="Arial"/>
          <w:color w:val="auto"/>
          <w:szCs w:val="22"/>
        </w:rPr>
        <w:t>The legal Status of EU Council Regulation 267/2012;</w:t>
      </w:r>
    </w:p>
    <w:p w:rsidR="00525B45" w:rsidRPr="005B2470" w:rsidRDefault="00525B45" w:rsidP="006C1E80">
      <w:pPr>
        <w:pStyle w:val="Body1"/>
        <w:numPr>
          <w:ilvl w:val="0"/>
          <w:numId w:val="1"/>
        </w:numPr>
        <w:jc w:val="both"/>
        <w:rPr>
          <w:rFonts w:ascii="Arial" w:hAnsi="Arial" w:cs="Arial"/>
          <w:color w:val="auto"/>
          <w:szCs w:val="22"/>
        </w:rPr>
      </w:pPr>
      <w:r w:rsidRPr="005B2470">
        <w:rPr>
          <w:rFonts w:ascii="Arial" w:hAnsi="Arial" w:cs="Arial"/>
          <w:color w:val="auto"/>
          <w:szCs w:val="22"/>
        </w:rPr>
        <w:t>The  expired</w:t>
      </w:r>
      <w:r w:rsidR="00DA25AB" w:rsidRPr="005B2470">
        <w:rPr>
          <w:rFonts w:ascii="Arial" w:hAnsi="Arial" w:cs="Arial"/>
          <w:color w:val="auto"/>
          <w:szCs w:val="22"/>
        </w:rPr>
        <w:t xml:space="preserve"> </w:t>
      </w:r>
      <w:r w:rsidRPr="005B2470">
        <w:rPr>
          <w:rFonts w:ascii="Arial" w:hAnsi="Arial" w:cs="Arial"/>
          <w:color w:val="auto"/>
          <w:szCs w:val="22"/>
        </w:rPr>
        <w:t>"grace periods";</w:t>
      </w:r>
    </w:p>
    <w:p w:rsidR="00610ECA" w:rsidRPr="005B2470" w:rsidRDefault="00525B45" w:rsidP="006C1E80">
      <w:pPr>
        <w:pStyle w:val="Body1"/>
        <w:numPr>
          <w:ilvl w:val="0"/>
          <w:numId w:val="1"/>
        </w:numPr>
        <w:jc w:val="both"/>
        <w:rPr>
          <w:rFonts w:ascii="Arial" w:hAnsi="Arial" w:cs="Arial"/>
          <w:color w:val="auto"/>
          <w:szCs w:val="22"/>
        </w:rPr>
      </w:pPr>
      <w:r w:rsidRPr="005B2470">
        <w:rPr>
          <w:rFonts w:ascii="Arial" w:hAnsi="Arial" w:cs="Arial"/>
          <w:color w:val="auto"/>
          <w:szCs w:val="22"/>
        </w:rPr>
        <w:t xml:space="preserve">Impact on </w:t>
      </w:r>
      <w:proofErr w:type="spellStart"/>
      <w:r w:rsidRPr="005B2470">
        <w:rPr>
          <w:rFonts w:ascii="Arial" w:hAnsi="Arial" w:cs="Arial"/>
          <w:color w:val="auto"/>
          <w:szCs w:val="22"/>
        </w:rPr>
        <w:t>shipowners</w:t>
      </w:r>
      <w:proofErr w:type="spellEnd"/>
      <w:r w:rsidR="00610ECA" w:rsidRPr="005B2470">
        <w:rPr>
          <w:rFonts w:ascii="Arial" w:hAnsi="Arial" w:cs="Arial"/>
          <w:color w:val="auto"/>
          <w:szCs w:val="22"/>
        </w:rPr>
        <w:t>.</w:t>
      </w:r>
      <w:r w:rsidR="00730113" w:rsidRPr="005B2470">
        <w:rPr>
          <w:rFonts w:ascii="Arial" w:hAnsi="Arial" w:cs="Arial"/>
          <w:color w:val="auto"/>
          <w:szCs w:val="22"/>
        </w:rPr>
        <w:t xml:space="preserve"> For the purpose of these FAQs, the term </w:t>
      </w:r>
      <w:proofErr w:type="spellStart"/>
      <w:proofErr w:type="gramStart"/>
      <w:r w:rsidR="00164F99" w:rsidRPr="005B2470">
        <w:rPr>
          <w:rFonts w:ascii="Arial" w:hAnsi="Arial" w:cs="Arial"/>
          <w:color w:val="auto"/>
          <w:szCs w:val="22"/>
        </w:rPr>
        <w:t>shipowners</w:t>
      </w:r>
      <w:proofErr w:type="spellEnd"/>
      <w:r w:rsidR="00730113" w:rsidRPr="005B2470">
        <w:rPr>
          <w:rFonts w:ascii="Arial" w:hAnsi="Arial" w:cs="Arial"/>
          <w:color w:val="auto"/>
          <w:szCs w:val="22"/>
        </w:rPr>
        <w:t xml:space="preserve"> includes</w:t>
      </w:r>
      <w:proofErr w:type="gramEnd"/>
      <w:r w:rsidR="00730113" w:rsidRPr="005B2470">
        <w:rPr>
          <w:rFonts w:ascii="Arial" w:hAnsi="Arial" w:cs="Arial"/>
          <w:color w:val="auto"/>
          <w:szCs w:val="22"/>
        </w:rPr>
        <w:t xml:space="preserve"> charterers, with the sanctions potentially applying equally to both.</w:t>
      </w:r>
    </w:p>
    <w:p w:rsidR="00525B45" w:rsidRPr="005B2470" w:rsidRDefault="00525B45" w:rsidP="006C1E80">
      <w:pPr>
        <w:pStyle w:val="Body1"/>
        <w:numPr>
          <w:ilvl w:val="0"/>
          <w:numId w:val="1"/>
        </w:numPr>
        <w:jc w:val="both"/>
        <w:rPr>
          <w:rFonts w:ascii="Arial" w:hAnsi="Arial" w:cs="Arial"/>
          <w:color w:val="auto"/>
          <w:szCs w:val="22"/>
        </w:rPr>
      </w:pPr>
      <w:r w:rsidRPr="005B2470">
        <w:rPr>
          <w:rFonts w:ascii="Arial" w:hAnsi="Arial" w:cs="Arial"/>
          <w:color w:val="auto"/>
          <w:szCs w:val="22"/>
        </w:rPr>
        <w:t>Impact on the cover provided by clubs</w:t>
      </w:r>
    </w:p>
    <w:p w:rsidR="00525B45" w:rsidRPr="005B2470" w:rsidRDefault="00525B45" w:rsidP="006C1E80">
      <w:pPr>
        <w:pStyle w:val="Body1"/>
        <w:spacing w:after="0"/>
        <w:jc w:val="both"/>
        <w:rPr>
          <w:rFonts w:ascii="Arial" w:hAnsi="Arial" w:cs="Arial"/>
          <w:color w:val="auto"/>
          <w:szCs w:val="22"/>
        </w:rPr>
      </w:pPr>
      <w:r w:rsidRPr="005B2470">
        <w:rPr>
          <w:rFonts w:ascii="Arial" w:hAnsi="Arial" w:cs="Arial"/>
          <w:color w:val="auto"/>
          <w:szCs w:val="22"/>
        </w:rPr>
        <w:t>It should also be noted that the</w:t>
      </w:r>
      <w:r w:rsidR="005B7634" w:rsidRPr="005B2470">
        <w:rPr>
          <w:rFonts w:ascii="Arial" w:hAnsi="Arial" w:cs="Arial"/>
          <w:color w:val="auto"/>
          <w:szCs w:val="22"/>
        </w:rPr>
        <w:t>se</w:t>
      </w:r>
      <w:r w:rsidRPr="005B2470">
        <w:rPr>
          <w:rFonts w:ascii="Arial" w:hAnsi="Arial" w:cs="Arial"/>
          <w:color w:val="auto"/>
          <w:szCs w:val="22"/>
        </w:rPr>
        <w:t xml:space="preserve"> FAQs address solely the ramifications of Council Regulation 267/2012 and do not address other nationally or internationally applicable sanctions measures which may impact on trade to and from Iran and the provision of insurance and reinsurance cover in relation thereto.</w:t>
      </w:r>
    </w:p>
    <w:p w:rsidR="00525B45" w:rsidRPr="005B2470" w:rsidRDefault="00525B45" w:rsidP="006C1E80">
      <w:pPr>
        <w:pStyle w:val="Body1"/>
        <w:spacing w:after="0"/>
        <w:jc w:val="both"/>
        <w:rPr>
          <w:rFonts w:ascii="Arial" w:hAnsi="Arial" w:cs="Arial"/>
          <w:color w:val="auto"/>
          <w:szCs w:val="22"/>
        </w:rPr>
      </w:pPr>
    </w:p>
    <w:p w:rsidR="00525B45" w:rsidRPr="005B2470" w:rsidRDefault="00525B45" w:rsidP="006C1E80">
      <w:pPr>
        <w:pStyle w:val="Body1"/>
        <w:spacing w:after="0"/>
        <w:jc w:val="both"/>
        <w:rPr>
          <w:rFonts w:ascii="Arial" w:hAnsi="Arial" w:cs="Arial"/>
          <w:b/>
          <w:color w:val="auto"/>
          <w:szCs w:val="22"/>
        </w:rPr>
      </w:pPr>
      <w:r w:rsidRPr="005B2470">
        <w:rPr>
          <w:rFonts w:ascii="Arial" w:hAnsi="Arial" w:cs="Arial"/>
          <w:b/>
          <w:color w:val="auto"/>
          <w:szCs w:val="22"/>
        </w:rPr>
        <w:t>1. What is the legal status of the Regulation?</w:t>
      </w:r>
    </w:p>
    <w:p w:rsidR="00525B45" w:rsidRPr="005B2470" w:rsidRDefault="00525B45" w:rsidP="006C1E80">
      <w:pPr>
        <w:pStyle w:val="Body1"/>
        <w:spacing w:after="0"/>
        <w:jc w:val="both"/>
        <w:rPr>
          <w:rFonts w:ascii="Arial" w:hAnsi="Arial" w:cs="Arial"/>
          <w:b/>
          <w:color w:val="auto"/>
          <w:szCs w:val="22"/>
        </w:rPr>
      </w:pPr>
    </w:p>
    <w:p w:rsidR="00525B45" w:rsidRPr="005B2470" w:rsidRDefault="00525B45" w:rsidP="006C1E80">
      <w:pPr>
        <w:pStyle w:val="Body1"/>
        <w:spacing w:after="0"/>
        <w:jc w:val="both"/>
        <w:rPr>
          <w:rFonts w:ascii="Arial" w:hAnsi="Arial" w:cs="Arial"/>
          <w:color w:val="auto"/>
          <w:szCs w:val="22"/>
        </w:rPr>
      </w:pPr>
      <w:r w:rsidRPr="005B2470">
        <w:rPr>
          <w:rFonts w:ascii="Arial" w:hAnsi="Arial" w:cs="Arial"/>
          <w:color w:val="auto"/>
          <w:szCs w:val="22"/>
        </w:rPr>
        <w:t>Regulation 267/2012</w:t>
      </w:r>
      <w:r w:rsidR="00DA25AB" w:rsidRPr="005B2470">
        <w:rPr>
          <w:rFonts w:ascii="Arial" w:hAnsi="Arial" w:cs="Arial"/>
          <w:color w:val="auto"/>
          <w:szCs w:val="22"/>
        </w:rPr>
        <w:t xml:space="preserve"> </w:t>
      </w:r>
      <w:r w:rsidRPr="005B2470">
        <w:rPr>
          <w:rFonts w:ascii="Arial" w:hAnsi="Arial" w:cs="Arial"/>
          <w:color w:val="auto"/>
          <w:szCs w:val="22"/>
        </w:rPr>
        <w:t>became effective on</w:t>
      </w:r>
      <w:r w:rsidR="00DA25AB" w:rsidRPr="005B2470">
        <w:rPr>
          <w:rFonts w:ascii="Arial" w:hAnsi="Arial" w:cs="Arial"/>
          <w:color w:val="auto"/>
          <w:szCs w:val="22"/>
        </w:rPr>
        <w:t xml:space="preserve"> </w:t>
      </w:r>
      <w:r w:rsidRPr="005B2470">
        <w:rPr>
          <w:rFonts w:ascii="Arial" w:hAnsi="Arial" w:cs="Arial"/>
          <w:color w:val="auto"/>
          <w:szCs w:val="22"/>
        </w:rPr>
        <w:t xml:space="preserve">24 March 2012 and gives effect, subject to the modifications therein, to </w:t>
      </w:r>
      <w:r w:rsidRPr="005B2470">
        <w:rPr>
          <w:rFonts w:ascii="Arial" w:hAnsi="Arial" w:cs="Arial"/>
          <w:b/>
          <w:color w:val="auto"/>
          <w:szCs w:val="22"/>
        </w:rPr>
        <w:t xml:space="preserve">Council Decision 2012/35. </w:t>
      </w:r>
      <w:r w:rsidRPr="005B2470">
        <w:rPr>
          <w:rFonts w:ascii="Arial" w:hAnsi="Arial" w:cs="Arial"/>
          <w:color w:val="auto"/>
          <w:szCs w:val="22"/>
        </w:rPr>
        <w:t xml:space="preserve">It also repeals and replaces </w:t>
      </w:r>
      <w:r w:rsidRPr="005B2470">
        <w:rPr>
          <w:rFonts w:ascii="Arial" w:hAnsi="Arial" w:cs="Arial"/>
          <w:b/>
          <w:color w:val="auto"/>
          <w:szCs w:val="22"/>
        </w:rPr>
        <w:t>Regulation 961/2010</w:t>
      </w:r>
      <w:r w:rsidRPr="005B2470">
        <w:rPr>
          <w:rFonts w:ascii="Arial" w:hAnsi="Arial" w:cs="Arial"/>
          <w:color w:val="auto"/>
          <w:szCs w:val="22"/>
        </w:rPr>
        <w:t>.  The provisions of the Regulation, in so far as these relate to the shipment of Iranian crude oil, petroleum and petrochemical cargoes and the insurance arrangements relating thereto, are effective from the dates stipulated in the Regulation, in particular in the provisions contained in Articles 11 – 14.</w:t>
      </w:r>
    </w:p>
    <w:p w:rsidR="00525B45" w:rsidRPr="005B2470" w:rsidRDefault="00525B45" w:rsidP="006C1E80">
      <w:pPr>
        <w:pStyle w:val="Body1"/>
        <w:spacing w:after="0"/>
        <w:jc w:val="both"/>
        <w:rPr>
          <w:rFonts w:ascii="Arial" w:hAnsi="Arial" w:cs="Arial"/>
          <w:color w:val="auto"/>
          <w:szCs w:val="22"/>
        </w:rPr>
      </w:pPr>
    </w:p>
    <w:p w:rsidR="00DA25AB" w:rsidRPr="005B2470" w:rsidRDefault="00DA25AB" w:rsidP="006C1E80">
      <w:pPr>
        <w:pStyle w:val="Body1"/>
        <w:spacing w:after="0"/>
        <w:jc w:val="both"/>
        <w:rPr>
          <w:rFonts w:ascii="Arial" w:hAnsi="Arial" w:cs="Arial"/>
          <w:b/>
          <w:color w:val="auto"/>
          <w:szCs w:val="22"/>
        </w:rPr>
      </w:pPr>
    </w:p>
    <w:p w:rsidR="00525B45" w:rsidRPr="005B2470" w:rsidRDefault="00525B45" w:rsidP="006C1E80">
      <w:pPr>
        <w:pStyle w:val="Body1"/>
        <w:spacing w:after="0"/>
        <w:jc w:val="both"/>
        <w:rPr>
          <w:rFonts w:ascii="Arial" w:hAnsi="Arial" w:cs="Arial"/>
          <w:b/>
          <w:color w:val="auto"/>
          <w:szCs w:val="22"/>
        </w:rPr>
      </w:pPr>
      <w:r w:rsidRPr="005B2470">
        <w:rPr>
          <w:rFonts w:ascii="Arial" w:hAnsi="Arial" w:cs="Arial"/>
          <w:b/>
          <w:color w:val="auto"/>
          <w:szCs w:val="22"/>
        </w:rPr>
        <w:t>2. What is the effect of the expiration of the "grace periods" provided for in Articles 12 and 14 in the Regulation?</w:t>
      </w:r>
    </w:p>
    <w:p w:rsidR="00525B45" w:rsidRPr="005B2470" w:rsidRDefault="00525B45" w:rsidP="006C1E80">
      <w:pPr>
        <w:pStyle w:val="Body1"/>
        <w:spacing w:after="0"/>
        <w:jc w:val="both"/>
        <w:rPr>
          <w:rFonts w:ascii="Arial" w:hAnsi="Arial" w:cs="Arial"/>
          <w:b/>
          <w:color w:val="auto"/>
          <w:szCs w:val="22"/>
        </w:rPr>
      </w:pPr>
    </w:p>
    <w:p w:rsidR="00525B45" w:rsidRPr="005B2470" w:rsidRDefault="00525B45" w:rsidP="006C1E80">
      <w:pPr>
        <w:pStyle w:val="Body1"/>
        <w:spacing w:after="0"/>
        <w:jc w:val="both"/>
        <w:rPr>
          <w:rFonts w:ascii="Arial" w:hAnsi="Arial" w:cs="Arial"/>
          <w:color w:val="auto"/>
          <w:szCs w:val="22"/>
        </w:rPr>
      </w:pPr>
      <w:r w:rsidRPr="005B2470">
        <w:rPr>
          <w:rFonts w:ascii="Arial" w:hAnsi="Arial" w:cs="Arial"/>
          <w:color w:val="auto"/>
          <w:szCs w:val="22"/>
        </w:rPr>
        <w:t>The Regulation contain</w:t>
      </w:r>
      <w:r w:rsidR="005B7634" w:rsidRPr="005B2470">
        <w:rPr>
          <w:rFonts w:ascii="Arial" w:hAnsi="Arial" w:cs="Arial"/>
          <w:color w:val="auto"/>
          <w:szCs w:val="22"/>
        </w:rPr>
        <w:t>ed</w:t>
      </w:r>
      <w:r w:rsidRPr="005B2470">
        <w:rPr>
          <w:rFonts w:ascii="Arial" w:hAnsi="Arial" w:cs="Arial"/>
          <w:color w:val="auto"/>
          <w:szCs w:val="22"/>
        </w:rPr>
        <w:t xml:space="preserve"> two "grace periods” for the continuation of the performance of contracts which were concluded </w:t>
      </w:r>
      <w:r w:rsidRPr="005B2470">
        <w:rPr>
          <w:rFonts w:ascii="Arial" w:hAnsi="Arial" w:cs="Arial"/>
          <w:b/>
          <w:color w:val="auto"/>
          <w:szCs w:val="22"/>
        </w:rPr>
        <w:t>prior to 23 January 2012</w:t>
      </w:r>
      <w:r w:rsidRPr="005B2470">
        <w:rPr>
          <w:rFonts w:ascii="Arial" w:hAnsi="Arial" w:cs="Arial"/>
          <w:color w:val="auto"/>
          <w:szCs w:val="22"/>
        </w:rPr>
        <w:t xml:space="preserve">: </w:t>
      </w:r>
    </w:p>
    <w:p w:rsidR="00525B45" w:rsidRPr="005B2470" w:rsidRDefault="00525B45" w:rsidP="006C1E80">
      <w:pPr>
        <w:pStyle w:val="Body1"/>
        <w:spacing w:after="0"/>
        <w:jc w:val="both"/>
        <w:rPr>
          <w:rFonts w:ascii="Arial" w:hAnsi="Arial" w:cs="Arial"/>
          <w:color w:val="auto"/>
          <w:szCs w:val="22"/>
        </w:rPr>
      </w:pPr>
    </w:p>
    <w:p w:rsidR="00525B45" w:rsidRPr="005B2470" w:rsidRDefault="00525B45" w:rsidP="006C1E80">
      <w:pPr>
        <w:pStyle w:val="Body1"/>
        <w:numPr>
          <w:ilvl w:val="0"/>
          <w:numId w:val="4"/>
        </w:numPr>
        <w:spacing w:after="0"/>
        <w:jc w:val="both"/>
        <w:rPr>
          <w:rFonts w:ascii="Arial" w:hAnsi="Arial" w:cs="Arial"/>
          <w:color w:val="auto"/>
          <w:szCs w:val="22"/>
        </w:rPr>
      </w:pPr>
      <w:r w:rsidRPr="005B2470">
        <w:rPr>
          <w:rFonts w:ascii="Arial" w:hAnsi="Arial" w:cs="Arial"/>
          <w:color w:val="auto"/>
          <w:szCs w:val="22"/>
        </w:rPr>
        <w:t>For petro-chemical products, until 1 May 2012, and</w:t>
      </w:r>
    </w:p>
    <w:p w:rsidR="00525B45" w:rsidRPr="005B2470" w:rsidRDefault="00525B45" w:rsidP="006C1E80">
      <w:pPr>
        <w:pStyle w:val="Body1"/>
        <w:spacing w:after="0"/>
        <w:jc w:val="both"/>
        <w:rPr>
          <w:rFonts w:ascii="Arial" w:hAnsi="Arial" w:cs="Arial"/>
          <w:color w:val="auto"/>
          <w:szCs w:val="22"/>
        </w:rPr>
      </w:pPr>
    </w:p>
    <w:p w:rsidR="00525B45" w:rsidRPr="005B2470" w:rsidRDefault="00525B45" w:rsidP="006C1E80">
      <w:pPr>
        <w:pStyle w:val="Body1"/>
        <w:numPr>
          <w:ilvl w:val="0"/>
          <w:numId w:val="4"/>
        </w:numPr>
        <w:spacing w:after="0"/>
        <w:jc w:val="both"/>
        <w:rPr>
          <w:rFonts w:ascii="Arial" w:hAnsi="Arial" w:cs="Arial"/>
          <w:color w:val="auto"/>
          <w:szCs w:val="22"/>
        </w:rPr>
      </w:pPr>
      <w:r w:rsidRPr="005B2470">
        <w:rPr>
          <w:rFonts w:ascii="Arial" w:hAnsi="Arial" w:cs="Arial"/>
          <w:color w:val="auto"/>
          <w:szCs w:val="22"/>
        </w:rPr>
        <w:t>For crude and petroleum products, until 1 July 2012.</w:t>
      </w:r>
    </w:p>
    <w:p w:rsidR="00525B45" w:rsidRPr="005B2470" w:rsidRDefault="00525B45" w:rsidP="00B32586">
      <w:pPr>
        <w:pStyle w:val="Body1"/>
        <w:spacing w:after="0"/>
        <w:jc w:val="both"/>
        <w:rPr>
          <w:rFonts w:ascii="Arial" w:hAnsi="Arial" w:cs="Arial"/>
          <w:color w:val="auto"/>
          <w:szCs w:val="22"/>
        </w:rPr>
      </w:pPr>
    </w:p>
    <w:p w:rsidR="00805112" w:rsidRPr="005B2470" w:rsidRDefault="00525B45" w:rsidP="00DA25AB">
      <w:pPr>
        <w:pStyle w:val="Body1"/>
        <w:spacing w:after="0"/>
        <w:jc w:val="both"/>
        <w:rPr>
          <w:rFonts w:ascii="Arial" w:hAnsi="Arial" w:cs="Arial"/>
          <w:color w:val="auto"/>
          <w:szCs w:val="22"/>
        </w:rPr>
      </w:pPr>
      <w:r w:rsidRPr="005B2470">
        <w:rPr>
          <w:rFonts w:ascii="Arial" w:hAnsi="Arial" w:cs="Arial"/>
          <w:color w:val="auto"/>
          <w:szCs w:val="22"/>
        </w:rPr>
        <w:lastRenderedPageBreak/>
        <w:t>The grace periods expired</w:t>
      </w:r>
      <w:r w:rsidR="00DA25AB" w:rsidRPr="005B2470">
        <w:rPr>
          <w:rFonts w:ascii="Arial" w:hAnsi="Arial" w:cs="Arial"/>
          <w:color w:val="auto"/>
          <w:szCs w:val="22"/>
        </w:rPr>
        <w:t xml:space="preserve"> </w:t>
      </w:r>
      <w:r w:rsidRPr="005B2470">
        <w:rPr>
          <w:rFonts w:ascii="Arial" w:hAnsi="Arial" w:cs="Arial"/>
          <w:color w:val="auto"/>
          <w:szCs w:val="22"/>
        </w:rPr>
        <w:t>at</w:t>
      </w:r>
      <w:r w:rsidR="00DA25AB" w:rsidRPr="005B2470">
        <w:rPr>
          <w:rFonts w:ascii="Arial" w:hAnsi="Arial" w:cs="Arial"/>
          <w:color w:val="auto"/>
          <w:szCs w:val="22"/>
        </w:rPr>
        <w:t xml:space="preserve"> </w:t>
      </w:r>
      <w:r w:rsidRPr="005B2470">
        <w:rPr>
          <w:rFonts w:ascii="Arial" w:hAnsi="Arial" w:cs="Arial"/>
          <w:color w:val="auto"/>
          <w:szCs w:val="22"/>
        </w:rPr>
        <w:t>23</w:t>
      </w:r>
      <w:r w:rsidR="00DA25AB" w:rsidRPr="005B2470">
        <w:rPr>
          <w:rFonts w:ascii="Arial" w:hAnsi="Arial" w:cs="Arial"/>
          <w:color w:val="auto"/>
          <w:szCs w:val="22"/>
        </w:rPr>
        <w:t>:</w:t>
      </w:r>
      <w:r w:rsidRPr="005B2470">
        <w:rPr>
          <w:rFonts w:ascii="Arial" w:hAnsi="Arial" w:cs="Arial"/>
          <w:color w:val="auto"/>
          <w:szCs w:val="22"/>
        </w:rPr>
        <w:t xml:space="preserve">59 on 30 April </w:t>
      </w:r>
      <w:r w:rsidR="005B7634" w:rsidRPr="005B2470">
        <w:rPr>
          <w:rFonts w:ascii="Arial" w:hAnsi="Arial" w:cs="Arial"/>
          <w:color w:val="auto"/>
          <w:szCs w:val="22"/>
        </w:rPr>
        <w:t xml:space="preserve">2012 </w:t>
      </w:r>
      <w:r w:rsidRPr="005B2470">
        <w:rPr>
          <w:rFonts w:ascii="Arial" w:hAnsi="Arial" w:cs="Arial"/>
          <w:color w:val="auto"/>
          <w:szCs w:val="22"/>
        </w:rPr>
        <w:t>and 23</w:t>
      </w:r>
      <w:r w:rsidR="00DA25AB" w:rsidRPr="005B2470">
        <w:rPr>
          <w:rFonts w:ascii="Arial" w:hAnsi="Arial" w:cs="Arial"/>
          <w:color w:val="auto"/>
          <w:szCs w:val="22"/>
        </w:rPr>
        <w:t>:</w:t>
      </w:r>
      <w:r w:rsidRPr="005B2470">
        <w:rPr>
          <w:rFonts w:ascii="Arial" w:hAnsi="Arial" w:cs="Arial"/>
          <w:color w:val="auto"/>
          <w:szCs w:val="22"/>
        </w:rPr>
        <w:t>59 on 30 June</w:t>
      </w:r>
      <w:r w:rsidR="005B7634" w:rsidRPr="005B2470">
        <w:rPr>
          <w:rFonts w:ascii="Arial" w:hAnsi="Arial" w:cs="Arial"/>
          <w:color w:val="auto"/>
          <w:szCs w:val="22"/>
        </w:rPr>
        <w:t xml:space="preserve"> 2012</w:t>
      </w:r>
      <w:r w:rsidRPr="005B2470">
        <w:rPr>
          <w:rFonts w:ascii="Arial" w:hAnsi="Arial" w:cs="Arial"/>
          <w:color w:val="auto"/>
          <w:szCs w:val="22"/>
        </w:rPr>
        <w:t xml:space="preserve"> respectively and no longer apply </w:t>
      </w:r>
      <w:r w:rsidR="005B7634" w:rsidRPr="005B2470">
        <w:rPr>
          <w:rFonts w:ascii="Arial" w:hAnsi="Arial" w:cs="Arial"/>
          <w:color w:val="auto"/>
          <w:szCs w:val="22"/>
        </w:rPr>
        <w:t>except</w:t>
      </w:r>
      <w:r w:rsidR="0084493E" w:rsidRPr="005B2470">
        <w:rPr>
          <w:rFonts w:ascii="Arial" w:hAnsi="Arial" w:cs="Arial"/>
          <w:color w:val="auto"/>
          <w:szCs w:val="22"/>
        </w:rPr>
        <w:t xml:space="preserve"> </w:t>
      </w:r>
      <w:r w:rsidRPr="005B2470">
        <w:rPr>
          <w:rFonts w:ascii="Arial" w:hAnsi="Arial" w:cs="Arial"/>
          <w:color w:val="auto"/>
          <w:szCs w:val="22"/>
        </w:rPr>
        <w:t>in respect of contracts that are subject to Regulation 267/2012, articles 12.1(b) and 14.1(b). These provisions allow for pre 23 January</w:t>
      </w:r>
      <w:r w:rsidR="005B7634" w:rsidRPr="005B2470">
        <w:rPr>
          <w:rFonts w:ascii="Arial" w:hAnsi="Arial" w:cs="Arial"/>
          <w:color w:val="auto"/>
          <w:szCs w:val="22"/>
        </w:rPr>
        <w:t xml:space="preserve"> 2012</w:t>
      </w:r>
      <w:r w:rsidRPr="005B2470">
        <w:rPr>
          <w:rFonts w:ascii="Arial" w:hAnsi="Arial" w:cs="Arial"/>
          <w:color w:val="auto"/>
          <w:szCs w:val="22"/>
        </w:rPr>
        <w:t xml:space="preserve"> contracts and </w:t>
      </w:r>
      <w:r w:rsidR="00730113" w:rsidRPr="005B2470">
        <w:rPr>
          <w:rFonts w:ascii="Arial" w:hAnsi="Arial" w:cs="Arial"/>
          <w:color w:val="auto"/>
          <w:szCs w:val="22"/>
        </w:rPr>
        <w:t xml:space="preserve">their </w:t>
      </w:r>
      <w:r w:rsidR="00FE26B7" w:rsidRPr="005B2470">
        <w:rPr>
          <w:rFonts w:ascii="Arial" w:hAnsi="Arial" w:cs="Arial"/>
          <w:color w:val="auto"/>
          <w:szCs w:val="22"/>
        </w:rPr>
        <w:t xml:space="preserve"> </w:t>
      </w:r>
      <w:r w:rsidR="00164F99" w:rsidRPr="005B2470">
        <w:rPr>
          <w:rFonts w:ascii="Arial" w:hAnsi="Arial" w:cs="Arial"/>
          <w:color w:val="auto"/>
          <w:szCs w:val="22"/>
        </w:rPr>
        <w:t>ancillary</w:t>
      </w:r>
      <w:r w:rsidRPr="005B2470">
        <w:rPr>
          <w:rFonts w:ascii="Arial" w:hAnsi="Arial" w:cs="Arial"/>
          <w:color w:val="auto"/>
          <w:szCs w:val="22"/>
        </w:rPr>
        <w:t xml:space="preserve"> contracts</w:t>
      </w:r>
      <w:r w:rsidR="00730113" w:rsidRPr="005B2470">
        <w:rPr>
          <w:rFonts w:ascii="Arial" w:hAnsi="Arial" w:cs="Arial"/>
          <w:color w:val="auto"/>
          <w:szCs w:val="22"/>
        </w:rPr>
        <w:t xml:space="preserve"> (necessary for the execution of such contracts)</w:t>
      </w:r>
      <w:r w:rsidRPr="005B2470">
        <w:rPr>
          <w:rFonts w:ascii="Arial" w:hAnsi="Arial" w:cs="Arial"/>
          <w:color w:val="auto"/>
          <w:szCs w:val="22"/>
        </w:rPr>
        <w:t xml:space="preserve"> to continue where the crude, petroleum or petrochemical cargo</w:t>
      </w:r>
      <w:r w:rsidR="00FE26B7" w:rsidRPr="005B2470">
        <w:rPr>
          <w:rFonts w:ascii="Arial" w:hAnsi="Arial" w:cs="Arial"/>
          <w:color w:val="auto"/>
          <w:szCs w:val="22"/>
        </w:rPr>
        <w:t xml:space="preserve"> or proceeds derived from their supply </w:t>
      </w:r>
      <w:r w:rsidRPr="005B2470">
        <w:rPr>
          <w:rFonts w:ascii="Arial" w:hAnsi="Arial" w:cs="Arial"/>
          <w:color w:val="auto"/>
          <w:szCs w:val="22"/>
        </w:rPr>
        <w:t>is for reimbursement</w:t>
      </w:r>
      <w:r w:rsidR="00FE26B7" w:rsidRPr="005B2470">
        <w:rPr>
          <w:rFonts w:ascii="Arial" w:hAnsi="Arial" w:cs="Arial"/>
          <w:color w:val="auto"/>
          <w:szCs w:val="22"/>
        </w:rPr>
        <w:t xml:space="preserve"> of outstanding amounts</w:t>
      </w:r>
      <w:r w:rsidRPr="005B2470">
        <w:rPr>
          <w:rFonts w:ascii="Arial" w:hAnsi="Arial" w:cs="Arial"/>
          <w:color w:val="auto"/>
          <w:szCs w:val="22"/>
        </w:rPr>
        <w:t xml:space="preserve"> to persons</w:t>
      </w:r>
      <w:r w:rsidR="00DA25AB" w:rsidRPr="005B2470">
        <w:rPr>
          <w:rFonts w:ascii="Arial" w:hAnsi="Arial" w:cs="Arial"/>
          <w:color w:val="auto"/>
          <w:szCs w:val="22"/>
        </w:rPr>
        <w:t xml:space="preserve">, </w:t>
      </w:r>
      <w:r w:rsidRPr="005B2470">
        <w:rPr>
          <w:rFonts w:ascii="Arial" w:hAnsi="Arial" w:cs="Arial"/>
          <w:color w:val="auto"/>
          <w:szCs w:val="22"/>
        </w:rPr>
        <w:t xml:space="preserve">entities or bodies </w:t>
      </w:r>
      <w:r w:rsidR="00663AE1" w:rsidRPr="005B2470">
        <w:rPr>
          <w:rFonts w:ascii="Arial" w:hAnsi="Arial" w:cs="Arial"/>
          <w:color w:val="auto"/>
          <w:szCs w:val="22"/>
        </w:rPr>
        <w:t>under the jurisdiction of</w:t>
      </w:r>
      <w:r w:rsidRPr="005B2470">
        <w:rPr>
          <w:rFonts w:ascii="Arial" w:hAnsi="Arial" w:cs="Arial"/>
          <w:color w:val="auto"/>
          <w:szCs w:val="22"/>
        </w:rPr>
        <w:t xml:space="preserve"> EU Member States</w:t>
      </w:r>
      <w:r w:rsidR="00805112" w:rsidRPr="005B2470">
        <w:rPr>
          <w:rFonts w:ascii="Arial" w:hAnsi="Arial" w:cs="Arial"/>
          <w:color w:val="auto"/>
          <w:szCs w:val="22"/>
        </w:rPr>
        <w:t>.</w:t>
      </w:r>
    </w:p>
    <w:p w:rsidR="00525B45" w:rsidRPr="005B2470" w:rsidRDefault="00525B45" w:rsidP="00DA25AB">
      <w:pPr>
        <w:pStyle w:val="Body1"/>
        <w:spacing w:after="0"/>
        <w:jc w:val="both"/>
        <w:rPr>
          <w:rFonts w:ascii="Arial" w:hAnsi="Arial" w:cs="Arial"/>
          <w:color w:val="auto"/>
          <w:szCs w:val="22"/>
        </w:rPr>
      </w:pPr>
    </w:p>
    <w:p w:rsidR="00525B45" w:rsidRPr="005B2470" w:rsidRDefault="00C5432E" w:rsidP="006C1E80">
      <w:pPr>
        <w:pStyle w:val="Body1"/>
        <w:spacing w:after="0"/>
        <w:jc w:val="both"/>
        <w:rPr>
          <w:rFonts w:ascii="Arial" w:hAnsi="Arial" w:cs="Arial"/>
          <w:color w:val="auto"/>
          <w:szCs w:val="22"/>
        </w:rPr>
      </w:pPr>
      <w:r w:rsidRPr="005B2470">
        <w:rPr>
          <w:rFonts w:ascii="Arial" w:hAnsi="Arial" w:cs="Arial"/>
          <w:color w:val="auto"/>
          <w:szCs w:val="22"/>
        </w:rPr>
        <w:t xml:space="preserve">Articles 12.1(c) and 14.1(c) </w:t>
      </w:r>
      <w:r w:rsidR="00200AF3" w:rsidRPr="005B2470">
        <w:rPr>
          <w:rFonts w:ascii="Arial" w:hAnsi="Arial" w:cs="Arial"/>
          <w:color w:val="auto"/>
          <w:szCs w:val="22"/>
        </w:rPr>
        <w:t>provide</w:t>
      </w:r>
      <w:r w:rsidRPr="005B2470">
        <w:rPr>
          <w:rFonts w:ascii="Arial" w:hAnsi="Arial" w:cs="Arial"/>
          <w:color w:val="auto"/>
          <w:szCs w:val="22"/>
        </w:rPr>
        <w:t xml:space="preserve"> exceptions from the prohibitions on the purchase</w:t>
      </w:r>
      <w:r w:rsidR="00E6161D" w:rsidRPr="005B2470">
        <w:rPr>
          <w:rFonts w:ascii="Arial" w:hAnsi="Arial" w:cs="Arial"/>
          <w:color w:val="auto"/>
          <w:szCs w:val="22"/>
        </w:rPr>
        <w:t xml:space="preserve">, </w:t>
      </w:r>
      <w:r w:rsidRPr="005B2470">
        <w:rPr>
          <w:rFonts w:ascii="Arial" w:hAnsi="Arial" w:cs="Arial"/>
          <w:color w:val="auto"/>
          <w:szCs w:val="22"/>
        </w:rPr>
        <w:t>import or transport of defined crude oil, petroleum products and petrochemical products, providing the products had been exported from Iran prior to 23 January</w:t>
      </w:r>
      <w:r w:rsidR="00805112" w:rsidRPr="005B2470">
        <w:rPr>
          <w:rFonts w:ascii="Arial" w:hAnsi="Arial" w:cs="Arial"/>
          <w:color w:val="auto"/>
          <w:szCs w:val="22"/>
        </w:rPr>
        <w:t xml:space="preserve"> 2012,</w:t>
      </w:r>
      <w:r w:rsidRPr="005B2470">
        <w:rPr>
          <w:rFonts w:ascii="Arial" w:hAnsi="Arial" w:cs="Arial"/>
          <w:color w:val="auto"/>
          <w:szCs w:val="22"/>
        </w:rPr>
        <w:t xml:space="preserve"> or where the export was made </w:t>
      </w:r>
      <w:r w:rsidR="00805112" w:rsidRPr="005B2470">
        <w:rPr>
          <w:rFonts w:ascii="Arial" w:hAnsi="Arial" w:cs="Arial"/>
          <w:color w:val="auto"/>
          <w:szCs w:val="22"/>
        </w:rPr>
        <w:t xml:space="preserve">pursuant to a </w:t>
      </w:r>
      <w:proofErr w:type="spellStart"/>
      <w:r w:rsidR="00805112" w:rsidRPr="005B2470">
        <w:rPr>
          <w:rFonts w:ascii="Arial" w:hAnsi="Arial" w:cs="Arial"/>
          <w:color w:val="auto"/>
          <w:szCs w:val="22"/>
        </w:rPr>
        <w:t>pre 23</w:t>
      </w:r>
      <w:proofErr w:type="spellEnd"/>
      <w:r w:rsidR="00805112" w:rsidRPr="005B2470">
        <w:rPr>
          <w:rFonts w:ascii="Arial" w:hAnsi="Arial" w:cs="Arial"/>
          <w:color w:val="auto"/>
          <w:szCs w:val="22"/>
        </w:rPr>
        <w:t xml:space="preserve"> January trade contract or contract ancillary thereto </w:t>
      </w:r>
      <w:r w:rsidR="00E55948" w:rsidRPr="005B2470">
        <w:rPr>
          <w:rFonts w:ascii="Arial" w:hAnsi="Arial" w:cs="Arial"/>
          <w:color w:val="auto"/>
          <w:szCs w:val="22"/>
        </w:rPr>
        <w:t>during the grace periods</w:t>
      </w:r>
      <w:r w:rsidR="00805112" w:rsidRPr="005B2470">
        <w:rPr>
          <w:rFonts w:ascii="Arial" w:hAnsi="Arial" w:cs="Arial"/>
          <w:color w:val="auto"/>
          <w:szCs w:val="22"/>
        </w:rPr>
        <w:t>,</w:t>
      </w:r>
      <w:r w:rsidR="00663AE1" w:rsidRPr="005B2470">
        <w:rPr>
          <w:rFonts w:ascii="Arial" w:hAnsi="Arial" w:cs="Arial"/>
          <w:color w:val="auto"/>
          <w:szCs w:val="22"/>
        </w:rPr>
        <w:t xml:space="preserve"> </w:t>
      </w:r>
      <w:r w:rsidR="00E6161D" w:rsidRPr="005B2470">
        <w:rPr>
          <w:rFonts w:ascii="Arial" w:hAnsi="Arial" w:cs="Arial"/>
          <w:color w:val="auto"/>
          <w:szCs w:val="22"/>
        </w:rPr>
        <w:t xml:space="preserve">or where the export was made under the </w:t>
      </w:r>
      <w:r w:rsidR="00805112" w:rsidRPr="005B2470">
        <w:rPr>
          <w:rFonts w:ascii="Arial" w:hAnsi="Arial" w:cs="Arial"/>
          <w:color w:val="auto"/>
          <w:szCs w:val="22"/>
        </w:rPr>
        <w:t xml:space="preserve">article </w:t>
      </w:r>
      <w:r w:rsidR="00E6161D" w:rsidRPr="005B2470">
        <w:rPr>
          <w:rFonts w:ascii="Arial" w:hAnsi="Arial" w:cs="Arial"/>
          <w:color w:val="auto"/>
          <w:szCs w:val="22"/>
        </w:rPr>
        <w:t xml:space="preserve">12.1(b) and 14.1(b) </w:t>
      </w:r>
      <w:r w:rsidR="00200AF3" w:rsidRPr="005B2470">
        <w:rPr>
          <w:rFonts w:ascii="Arial" w:hAnsi="Arial" w:cs="Arial"/>
          <w:color w:val="auto"/>
          <w:szCs w:val="22"/>
        </w:rPr>
        <w:t>exceptions</w:t>
      </w:r>
      <w:r w:rsidR="00663AE1" w:rsidRPr="005B2470">
        <w:rPr>
          <w:rFonts w:ascii="Arial" w:hAnsi="Arial" w:cs="Arial"/>
          <w:color w:val="auto"/>
          <w:szCs w:val="22"/>
        </w:rPr>
        <w:t xml:space="preserve"> referred to above</w:t>
      </w:r>
      <w:r w:rsidR="00E6161D" w:rsidRPr="005B2470">
        <w:rPr>
          <w:rFonts w:ascii="Arial" w:hAnsi="Arial" w:cs="Arial"/>
          <w:color w:val="auto"/>
          <w:szCs w:val="22"/>
        </w:rPr>
        <w:t xml:space="preserve">. </w:t>
      </w:r>
    </w:p>
    <w:p w:rsidR="00663AE1" w:rsidRPr="005B2470" w:rsidRDefault="00663AE1" w:rsidP="006C1E80">
      <w:pPr>
        <w:pStyle w:val="Body1"/>
        <w:spacing w:after="0"/>
        <w:jc w:val="both"/>
        <w:rPr>
          <w:rFonts w:ascii="Arial" w:hAnsi="Arial" w:cs="Arial"/>
          <w:color w:val="auto"/>
          <w:szCs w:val="22"/>
        </w:rPr>
      </w:pPr>
    </w:p>
    <w:p w:rsidR="00805112" w:rsidRPr="005B2470" w:rsidRDefault="00805112" w:rsidP="006C1E80">
      <w:pPr>
        <w:pStyle w:val="Body1"/>
        <w:spacing w:after="0"/>
        <w:jc w:val="both"/>
        <w:rPr>
          <w:rFonts w:ascii="Arial" w:hAnsi="Arial" w:cs="Arial"/>
          <w:color w:val="auto"/>
          <w:szCs w:val="22"/>
        </w:rPr>
      </w:pPr>
      <w:r w:rsidRPr="005B2470">
        <w:rPr>
          <w:rFonts w:ascii="Arial" w:hAnsi="Arial" w:cs="Arial"/>
          <w:color w:val="auto"/>
          <w:szCs w:val="22"/>
        </w:rPr>
        <w:t xml:space="preserve">The performance of contracts referred to in the exceptions in articles 12.1 (b) and (c) and 14.1 (b) and (c) are subject to the following notification requirements. </w:t>
      </w:r>
    </w:p>
    <w:p w:rsidR="00C5432E" w:rsidRPr="005B2470" w:rsidRDefault="00C5432E" w:rsidP="006C1E80">
      <w:pPr>
        <w:pStyle w:val="Body1"/>
        <w:spacing w:after="0"/>
        <w:jc w:val="both"/>
        <w:rPr>
          <w:rFonts w:ascii="Arial" w:hAnsi="Arial" w:cs="Arial"/>
          <w:color w:val="auto"/>
          <w:szCs w:val="22"/>
        </w:rPr>
      </w:pPr>
    </w:p>
    <w:p w:rsidR="00525B45" w:rsidRPr="005B2470" w:rsidRDefault="00525B45" w:rsidP="006C1E80">
      <w:pPr>
        <w:pStyle w:val="Body1"/>
        <w:spacing w:after="0"/>
        <w:jc w:val="both"/>
        <w:rPr>
          <w:rFonts w:ascii="Arial" w:hAnsi="Arial" w:cs="Arial"/>
          <w:b/>
          <w:color w:val="auto"/>
          <w:szCs w:val="22"/>
        </w:rPr>
      </w:pPr>
      <w:r w:rsidRPr="005B2470">
        <w:rPr>
          <w:rFonts w:ascii="Arial" w:hAnsi="Arial" w:cs="Arial"/>
          <w:b/>
          <w:color w:val="auto"/>
          <w:szCs w:val="22"/>
        </w:rPr>
        <w:t>Notification Requirements</w:t>
      </w:r>
    </w:p>
    <w:p w:rsidR="00DA25AB" w:rsidRPr="005B2470" w:rsidRDefault="00DA25AB" w:rsidP="003B5816">
      <w:pPr>
        <w:pStyle w:val="Body1"/>
        <w:spacing w:after="0"/>
        <w:jc w:val="both"/>
        <w:rPr>
          <w:rFonts w:ascii="Arial" w:hAnsi="Arial" w:cs="Arial"/>
          <w:color w:val="auto"/>
          <w:szCs w:val="22"/>
        </w:rPr>
      </w:pPr>
    </w:p>
    <w:p w:rsidR="00525B45" w:rsidRPr="005B2470" w:rsidRDefault="00525B45" w:rsidP="003B5816">
      <w:pPr>
        <w:pStyle w:val="Body1"/>
        <w:spacing w:after="0"/>
        <w:jc w:val="both"/>
        <w:rPr>
          <w:rFonts w:ascii="Arial" w:hAnsi="Arial" w:cs="Arial"/>
          <w:color w:val="auto"/>
          <w:szCs w:val="22"/>
        </w:rPr>
      </w:pPr>
      <w:r w:rsidRPr="005B2470">
        <w:rPr>
          <w:rFonts w:ascii="Arial" w:hAnsi="Arial" w:cs="Arial"/>
          <w:color w:val="auto"/>
          <w:szCs w:val="22"/>
        </w:rPr>
        <w:t xml:space="preserve">Provisions are included in the Regulation which </w:t>
      </w:r>
      <w:proofErr w:type="gramStart"/>
      <w:r w:rsidRPr="005B2470">
        <w:rPr>
          <w:rFonts w:ascii="Arial" w:hAnsi="Arial" w:cs="Arial"/>
          <w:color w:val="auto"/>
          <w:szCs w:val="22"/>
        </w:rPr>
        <w:t>require</w:t>
      </w:r>
      <w:proofErr w:type="gramEnd"/>
      <w:r w:rsidRPr="005B2470">
        <w:rPr>
          <w:rFonts w:ascii="Arial" w:hAnsi="Arial" w:cs="Arial"/>
          <w:color w:val="auto"/>
          <w:szCs w:val="22"/>
        </w:rPr>
        <w:t xml:space="preserve"> the contractual performing party to give a minimum 20 working days’ notice of the activity or transaction to the competent authority of its Member State. There remains some ambiguity in the drafting regarding which contracts are intended to be covered by this notification requirement and whether this would extend to ancillary contracts such as transportation contracts</w:t>
      </w:r>
      <w:r w:rsidR="005B7634" w:rsidRPr="005B2470">
        <w:rPr>
          <w:rFonts w:ascii="Arial" w:hAnsi="Arial" w:cs="Arial"/>
          <w:color w:val="auto"/>
          <w:szCs w:val="22"/>
        </w:rPr>
        <w:t>. T</w:t>
      </w:r>
      <w:r w:rsidRPr="005B2470">
        <w:rPr>
          <w:rFonts w:ascii="Arial" w:hAnsi="Arial" w:cs="Arial"/>
          <w:color w:val="auto"/>
          <w:szCs w:val="22"/>
        </w:rPr>
        <w:t>he prudent approach would be to assume that the requirement appl</w:t>
      </w:r>
      <w:r w:rsidR="005B7634" w:rsidRPr="005B2470">
        <w:rPr>
          <w:rFonts w:ascii="Arial" w:hAnsi="Arial" w:cs="Arial"/>
          <w:color w:val="auto"/>
          <w:szCs w:val="22"/>
        </w:rPr>
        <w:t>ies</w:t>
      </w:r>
      <w:r w:rsidR="0084493E" w:rsidRPr="005B2470">
        <w:rPr>
          <w:rFonts w:ascii="Arial" w:hAnsi="Arial" w:cs="Arial"/>
          <w:color w:val="auto"/>
          <w:szCs w:val="22"/>
        </w:rPr>
        <w:t xml:space="preserve"> </w:t>
      </w:r>
      <w:r w:rsidRPr="005B2470">
        <w:rPr>
          <w:rFonts w:ascii="Arial" w:hAnsi="Arial" w:cs="Arial"/>
          <w:color w:val="auto"/>
          <w:szCs w:val="22"/>
        </w:rPr>
        <w:t xml:space="preserve">to an EU </w:t>
      </w:r>
      <w:proofErr w:type="spellStart"/>
      <w:r w:rsidRPr="005B2470">
        <w:rPr>
          <w:rFonts w:ascii="Arial" w:hAnsi="Arial" w:cs="Arial"/>
          <w:color w:val="auto"/>
          <w:szCs w:val="22"/>
        </w:rPr>
        <w:t>shipowner</w:t>
      </w:r>
      <w:proofErr w:type="spellEnd"/>
      <w:r w:rsidRPr="005B2470">
        <w:rPr>
          <w:rFonts w:ascii="Arial" w:hAnsi="Arial" w:cs="Arial"/>
          <w:color w:val="auto"/>
          <w:szCs w:val="22"/>
        </w:rPr>
        <w:t xml:space="preserve"> transporting </w:t>
      </w:r>
      <w:r w:rsidR="002910AE" w:rsidRPr="005B2470">
        <w:rPr>
          <w:rFonts w:ascii="Arial" w:hAnsi="Arial" w:cs="Arial"/>
          <w:color w:val="auto"/>
          <w:szCs w:val="22"/>
        </w:rPr>
        <w:t xml:space="preserve">Iranian </w:t>
      </w:r>
      <w:r w:rsidRPr="005B2470">
        <w:rPr>
          <w:rFonts w:ascii="Arial" w:hAnsi="Arial" w:cs="Arial"/>
          <w:color w:val="auto"/>
          <w:szCs w:val="22"/>
        </w:rPr>
        <w:t xml:space="preserve">crude oil, petroleum or petrochemical products to EU or other destinations. In practice this could give rise to problems where late notification of, or change of, voyage orders prevent a </w:t>
      </w:r>
      <w:proofErr w:type="spellStart"/>
      <w:r w:rsidRPr="005B2470">
        <w:rPr>
          <w:rFonts w:ascii="Arial" w:hAnsi="Arial" w:cs="Arial"/>
          <w:color w:val="auto"/>
          <w:szCs w:val="22"/>
        </w:rPr>
        <w:t>shipowner</w:t>
      </w:r>
      <w:proofErr w:type="spellEnd"/>
      <w:r w:rsidRPr="005B2470">
        <w:rPr>
          <w:rFonts w:ascii="Arial" w:hAnsi="Arial" w:cs="Arial"/>
          <w:color w:val="auto"/>
          <w:szCs w:val="22"/>
        </w:rPr>
        <w:t xml:space="preserve"> from giving the requisite minimum notice. In such circumstances </w:t>
      </w:r>
      <w:proofErr w:type="spellStart"/>
      <w:r w:rsidRPr="005B2470">
        <w:rPr>
          <w:rFonts w:ascii="Arial" w:hAnsi="Arial" w:cs="Arial"/>
          <w:color w:val="auto"/>
          <w:szCs w:val="22"/>
        </w:rPr>
        <w:t>shipowners</w:t>
      </w:r>
      <w:proofErr w:type="spellEnd"/>
      <w:r w:rsidRPr="005B2470">
        <w:rPr>
          <w:rFonts w:ascii="Arial" w:hAnsi="Arial" w:cs="Arial"/>
          <w:color w:val="auto"/>
          <w:szCs w:val="22"/>
        </w:rPr>
        <w:t xml:space="preserve"> should give as much notice as possible to the relevant Member State competent authority of the intended activity or transaction</w:t>
      </w:r>
      <w:r w:rsidR="00DA25AB" w:rsidRPr="005B2470">
        <w:rPr>
          <w:rFonts w:ascii="Arial" w:hAnsi="Arial" w:cs="Arial"/>
          <w:color w:val="auto"/>
          <w:szCs w:val="22"/>
        </w:rPr>
        <w:t xml:space="preserve">. </w:t>
      </w:r>
      <w:r w:rsidRPr="005B2470">
        <w:rPr>
          <w:rFonts w:ascii="Arial" w:hAnsi="Arial" w:cs="Arial"/>
          <w:color w:val="auto"/>
          <w:szCs w:val="22"/>
        </w:rPr>
        <w:t xml:space="preserve">It does not appear that this notice requirement would extend to a </w:t>
      </w:r>
      <w:proofErr w:type="spellStart"/>
      <w:r w:rsidRPr="005B2470">
        <w:rPr>
          <w:rFonts w:ascii="Arial" w:hAnsi="Arial" w:cs="Arial"/>
          <w:color w:val="auto"/>
          <w:szCs w:val="22"/>
        </w:rPr>
        <w:t>shipowner</w:t>
      </w:r>
      <w:proofErr w:type="spellEnd"/>
      <w:r w:rsidRPr="005B2470">
        <w:rPr>
          <w:rFonts w:ascii="Arial" w:hAnsi="Arial" w:cs="Arial"/>
          <w:color w:val="auto"/>
          <w:szCs w:val="22"/>
        </w:rPr>
        <w:t xml:space="preserve"> which is not established in an EU member state.</w:t>
      </w:r>
    </w:p>
    <w:p w:rsidR="00525B45" w:rsidRPr="005B2470" w:rsidRDefault="00525B45" w:rsidP="003B5816">
      <w:pPr>
        <w:pStyle w:val="Body1"/>
        <w:spacing w:after="0"/>
        <w:jc w:val="both"/>
        <w:rPr>
          <w:rFonts w:ascii="Arial" w:hAnsi="Arial" w:cs="Arial"/>
          <w:color w:val="auto"/>
          <w:szCs w:val="22"/>
        </w:rPr>
      </w:pPr>
    </w:p>
    <w:p w:rsidR="00525B45" w:rsidRPr="005B2470" w:rsidRDefault="00525B45" w:rsidP="003B5816">
      <w:pPr>
        <w:pStyle w:val="Body1"/>
        <w:spacing w:after="0"/>
        <w:jc w:val="both"/>
        <w:rPr>
          <w:rFonts w:ascii="Arial" w:hAnsi="Arial" w:cs="Arial"/>
          <w:color w:val="auto"/>
          <w:szCs w:val="22"/>
        </w:rPr>
      </w:pPr>
      <w:r w:rsidRPr="005B2470">
        <w:rPr>
          <w:rFonts w:ascii="Arial" w:hAnsi="Arial" w:cs="Arial"/>
          <w:color w:val="auto"/>
          <w:szCs w:val="22"/>
        </w:rPr>
        <w:t>The notification requirement</w:t>
      </w:r>
      <w:r w:rsidR="00DA25AB" w:rsidRPr="005B2470">
        <w:rPr>
          <w:rFonts w:ascii="Arial" w:hAnsi="Arial" w:cs="Arial"/>
          <w:color w:val="auto"/>
          <w:szCs w:val="22"/>
        </w:rPr>
        <w:t xml:space="preserve"> </w:t>
      </w:r>
      <w:r w:rsidR="005B7634" w:rsidRPr="005B2470">
        <w:rPr>
          <w:rFonts w:ascii="Arial" w:hAnsi="Arial" w:cs="Arial"/>
          <w:color w:val="auto"/>
          <w:szCs w:val="22"/>
        </w:rPr>
        <w:t>does</w:t>
      </w:r>
      <w:r w:rsidR="0084493E" w:rsidRPr="005B2470">
        <w:rPr>
          <w:rFonts w:ascii="Arial" w:hAnsi="Arial" w:cs="Arial"/>
          <w:color w:val="auto"/>
          <w:szCs w:val="22"/>
        </w:rPr>
        <w:t xml:space="preserve"> </w:t>
      </w:r>
      <w:r w:rsidRPr="005B2470">
        <w:rPr>
          <w:rFonts w:ascii="Arial" w:hAnsi="Arial" w:cs="Arial"/>
          <w:color w:val="auto"/>
          <w:szCs w:val="22"/>
        </w:rPr>
        <w:t>not, however, apply in relation to P&amp;I insurance or reinsurance cover arrangements.</w:t>
      </w:r>
    </w:p>
    <w:p w:rsidR="00525B45" w:rsidRPr="005B2470" w:rsidRDefault="00525B45" w:rsidP="006C1E80">
      <w:pPr>
        <w:pStyle w:val="Body1"/>
        <w:spacing w:after="0"/>
        <w:jc w:val="both"/>
        <w:rPr>
          <w:rFonts w:ascii="Arial" w:hAnsi="Arial" w:cs="Arial"/>
          <w:color w:val="auto"/>
          <w:szCs w:val="22"/>
        </w:rPr>
      </w:pPr>
    </w:p>
    <w:p w:rsidR="00525B45" w:rsidRPr="005B2470" w:rsidRDefault="00525B45" w:rsidP="006C1E80">
      <w:pPr>
        <w:pStyle w:val="Body1"/>
        <w:spacing w:after="0"/>
        <w:jc w:val="both"/>
        <w:rPr>
          <w:rFonts w:ascii="Arial" w:hAnsi="Arial" w:cs="Arial"/>
          <w:b/>
          <w:color w:val="auto"/>
          <w:szCs w:val="22"/>
        </w:rPr>
      </w:pPr>
      <w:r w:rsidRPr="005B2470">
        <w:rPr>
          <w:rFonts w:ascii="Arial" w:hAnsi="Arial" w:cs="Arial"/>
          <w:b/>
          <w:color w:val="auto"/>
          <w:szCs w:val="22"/>
        </w:rPr>
        <w:t>3. How will the</w:t>
      </w:r>
      <w:r w:rsidR="00DA25AB" w:rsidRPr="005B2470">
        <w:rPr>
          <w:rFonts w:ascii="Arial" w:hAnsi="Arial" w:cs="Arial"/>
          <w:b/>
          <w:color w:val="auto"/>
          <w:szCs w:val="22"/>
        </w:rPr>
        <w:t xml:space="preserve"> </w:t>
      </w:r>
      <w:r w:rsidRPr="005B2470">
        <w:rPr>
          <w:rFonts w:ascii="Arial" w:hAnsi="Arial" w:cs="Arial"/>
          <w:b/>
          <w:color w:val="auto"/>
          <w:szCs w:val="22"/>
        </w:rPr>
        <w:t xml:space="preserve">relevant prohibitions in the Regulation impact on </w:t>
      </w:r>
      <w:proofErr w:type="spellStart"/>
      <w:r w:rsidRPr="005B2470">
        <w:rPr>
          <w:rFonts w:ascii="Arial" w:hAnsi="Arial" w:cs="Arial"/>
          <w:b/>
          <w:color w:val="auto"/>
          <w:szCs w:val="22"/>
        </w:rPr>
        <w:t>shipowners</w:t>
      </w:r>
      <w:proofErr w:type="spellEnd"/>
      <w:r w:rsidR="00C524F6" w:rsidRPr="005B2470">
        <w:rPr>
          <w:rFonts w:ascii="Arial" w:hAnsi="Arial" w:cs="Arial"/>
          <w:b/>
          <w:color w:val="auto"/>
          <w:szCs w:val="22"/>
        </w:rPr>
        <w:t>?</w:t>
      </w:r>
    </w:p>
    <w:p w:rsidR="00525B45" w:rsidRPr="005B2470" w:rsidRDefault="00525B45" w:rsidP="006C1E80">
      <w:pPr>
        <w:pStyle w:val="Body1"/>
        <w:spacing w:after="0"/>
        <w:jc w:val="both"/>
        <w:rPr>
          <w:rFonts w:ascii="Arial" w:hAnsi="Arial" w:cs="Arial"/>
          <w:b/>
          <w:color w:val="auto"/>
          <w:szCs w:val="22"/>
        </w:rPr>
      </w:pPr>
    </w:p>
    <w:p w:rsidR="00525B45" w:rsidRPr="005B2470" w:rsidRDefault="00525B45" w:rsidP="006C1E80">
      <w:pPr>
        <w:pStyle w:val="Body1"/>
        <w:spacing w:after="0"/>
        <w:jc w:val="both"/>
        <w:rPr>
          <w:rFonts w:ascii="Arial" w:hAnsi="Arial" w:cs="Arial"/>
          <w:color w:val="auto"/>
          <w:szCs w:val="22"/>
        </w:rPr>
      </w:pPr>
      <w:r w:rsidRPr="005B2470">
        <w:rPr>
          <w:rFonts w:ascii="Arial" w:hAnsi="Arial" w:cs="Arial"/>
          <w:color w:val="auto"/>
          <w:szCs w:val="22"/>
        </w:rPr>
        <w:t>Since the grace periods ended on 1 May 2012 and 1 July 2012,</w:t>
      </w:r>
      <w:r w:rsidR="00A235B5" w:rsidRPr="005B2470">
        <w:rPr>
          <w:rFonts w:ascii="Arial" w:hAnsi="Arial" w:cs="Arial"/>
          <w:color w:val="auto"/>
          <w:szCs w:val="22"/>
        </w:rPr>
        <w:t xml:space="preserve"> unless one of the limited exemptions set out in FAQ 2 applies, </w:t>
      </w:r>
      <w:r w:rsidRPr="005B2470">
        <w:rPr>
          <w:rFonts w:ascii="Arial" w:hAnsi="Arial" w:cs="Arial"/>
          <w:color w:val="auto"/>
          <w:szCs w:val="22"/>
        </w:rPr>
        <w:t>it is prohibited</w:t>
      </w:r>
      <w:r w:rsidR="00DA25AB" w:rsidRPr="005B2470">
        <w:rPr>
          <w:rFonts w:ascii="Arial" w:hAnsi="Arial" w:cs="Arial"/>
          <w:color w:val="auto"/>
          <w:szCs w:val="22"/>
        </w:rPr>
        <w:t xml:space="preserve"> </w:t>
      </w:r>
      <w:r w:rsidRPr="005B2470">
        <w:rPr>
          <w:rFonts w:ascii="Arial" w:hAnsi="Arial" w:cs="Arial"/>
          <w:color w:val="auto"/>
          <w:szCs w:val="22"/>
        </w:rPr>
        <w:t xml:space="preserve">for EU regulated </w:t>
      </w:r>
      <w:proofErr w:type="spellStart"/>
      <w:r w:rsidRPr="005B2470">
        <w:rPr>
          <w:rFonts w:ascii="Arial" w:hAnsi="Arial" w:cs="Arial"/>
          <w:color w:val="auto"/>
          <w:szCs w:val="22"/>
        </w:rPr>
        <w:t>shipowners</w:t>
      </w:r>
      <w:proofErr w:type="spellEnd"/>
      <w:r w:rsidR="00DA25AB" w:rsidRPr="005B2470">
        <w:rPr>
          <w:rFonts w:ascii="Arial" w:hAnsi="Arial" w:cs="Arial"/>
          <w:color w:val="auto"/>
          <w:szCs w:val="22"/>
        </w:rPr>
        <w:t xml:space="preserve"> </w:t>
      </w:r>
      <w:r w:rsidRPr="005B2470">
        <w:rPr>
          <w:rFonts w:ascii="Arial" w:hAnsi="Arial" w:cs="Arial"/>
          <w:color w:val="auto"/>
          <w:szCs w:val="22"/>
        </w:rPr>
        <w:t xml:space="preserve">to purchase, import or transport </w:t>
      </w:r>
      <w:r w:rsidR="0064427D" w:rsidRPr="005B2470">
        <w:rPr>
          <w:rFonts w:ascii="Arial" w:hAnsi="Arial" w:cs="Arial"/>
          <w:color w:val="auto"/>
          <w:szCs w:val="22"/>
        </w:rPr>
        <w:t xml:space="preserve">Iranian </w:t>
      </w:r>
      <w:r w:rsidRPr="005B2470">
        <w:rPr>
          <w:rFonts w:ascii="Arial" w:hAnsi="Arial" w:cs="Arial"/>
          <w:color w:val="auto"/>
          <w:szCs w:val="22"/>
        </w:rPr>
        <w:t>crude oil, petroleum products and petro-chemical products</w:t>
      </w:r>
      <w:r w:rsidR="00730113" w:rsidRPr="005B2470">
        <w:rPr>
          <w:rFonts w:ascii="Arial" w:hAnsi="Arial" w:cs="Arial"/>
          <w:color w:val="auto"/>
          <w:szCs w:val="22"/>
        </w:rPr>
        <w:t xml:space="preserve"> regardless of the place of loading</w:t>
      </w:r>
      <w:r w:rsidR="00320C8E" w:rsidRPr="005B2470">
        <w:rPr>
          <w:rFonts w:ascii="Arial" w:hAnsi="Arial" w:cs="Arial"/>
          <w:color w:val="auto"/>
          <w:szCs w:val="22"/>
        </w:rPr>
        <w:t>, and non-Iranian crude oil, petroleum products and petro-chemical products that are being exported from Iran</w:t>
      </w:r>
      <w:r w:rsidR="0064427D" w:rsidRPr="005B2470">
        <w:rPr>
          <w:rFonts w:ascii="Arial" w:hAnsi="Arial" w:cs="Arial"/>
          <w:color w:val="auto"/>
          <w:szCs w:val="22"/>
        </w:rPr>
        <w:t>.</w:t>
      </w:r>
    </w:p>
    <w:p w:rsidR="00525B45" w:rsidRPr="005B2470" w:rsidRDefault="00525B45" w:rsidP="006C1E80">
      <w:pPr>
        <w:pStyle w:val="Body1"/>
        <w:spacing w:after="0"/>
        <w:jc w:val="both"/>
        <w:rPr>
          <w:rFonts w:ascii="Arial" w:hAnsi="Arial" w:cs="Arial"/>
          <w:color w:val="auto"/>
          <w:szCs w:val="22"/>
        </w:rPr>
      </w:pPr>
    </w:p>
    <w:p w:rsidR="00525B45" w:rsidRPr="005B2470" w:rsidRDefault="00525B45" w:rsidP="006C1E80">
      <w:pPr>
        <w:pStyle w:val="Body1"/>
        <w:spacing w:after="0"/>
        <w:jc w:val="both"/>
        <w:rPr>
          <w:rFonts w:ascii="Arial" w:hAnsi="Arial" w:cs="Arial"/>
          <w:color w:val="auto"/>
          <w:szCs w:val="22"/>
        </w:rPr>
      </w:pPr>
      <w:r w:rsidRPr="005B2470">
        <w:rPr>
          <w:rFonts w:ascii="Arial" w:hAnsi="Arial" w:cs="Arial"/>
          <w:color w:val="auto"/>
          <w:szCs w:val="22"/>
        </w:rPr>
        <w:t>Non-EU regulated</w:t>
      </w:r>
      <w:r w:rsidR="00DA25AB" w:rsidRPr="005B2470">
        <w:rPr>
          <w:rFonts w:ascii="Arial" w:hAnsi="Arial" w:cs="Arial"/>
          <w:color w:val="auto"/>
          <w:szCs w:val="22"/>
        </w:rPr>
        <w:t xml:space="preserve"> </w:t>
      </w:r>
      <w:proofErr w:type="spellStart"/>
      <w:r w:rsidRPr="005B2470">
        <w:rPr>
          <w:rFonts w:ascii="Arial" w:hAnsi="Arial" w:cs="Arial"/>
          <w:color w:val="auto"/>
          <w:szCs w:val="22"/>
        </w:rPr>
        <w:t>shipowners</w:t>
      </w:r>
      <w:proofErr w:type="spellEnd"/>
      <w:r w:rsidRPr="005B2470">
        <w:rPr>
          <w:rFonts w:ascii="Arial" w:hAnsi="Arial" w:cs="Arial"/>
          <w:color w:val="auto"/>
          <w:szCs w:val="22"/>
        </w:rPr>
        <w:t xml:space="preserve"> may continue to transport </w:t>
      </w:r>
      <w:r w:rsidR="0064427D" w:rsidRPr="005B2470">
        <w:rPr>
          <w:rFonts w:ascii="Arial" w:hAnsi="Arial" w:cs="Arial"/>
          <w:color w:val="auto"/>
          <w:szCs w:val="22"/>
        </w:rPr>
        <w:t xml:space="preserve">Iranian </w:t>
      </w:r>
      <w:r w:rsidRPr="005B2470">
        <w:rPr>
          <w:rFonts w:ascii="Arial" w:hAnsi="Arial" w:cs="Arial"/>
          <w:color w:val="auto"/>
          <w:szCs w:val="22"/>
        </w:rPr>
        <w:t>crude oil, petroleum and petrochemical</w:t>
      </w:r>
      <w:r w:rsidR="00DA25AB" w:rsidRPr="005B2470">
        <w:rPr>
          <w:rFonts w:ascii="Arial" w:hAnsi="Arial" w:cs="Arial"/>
          <w:color w:val="auto"/>
          <w:szCs w:val="22"/>
        </w:rPr>
        <w:t xml:space="preserve"> </w:t>
      </w:r>
      <w:r w:rsidR="0064427D" w:rsidRPr="005B2470">
        <w:rPr>
          <w:rFonts w:ascii="Arial" w:hAnsi="Arial" w:cs="Arial"/>
          <w:color w:val="auto"/>
          <w:szCs w:val="22"/>
        </w:rPr>
        <w:t>products</w:t>
      </w:r>
      <w:r w:rsidR="00DA25AB" w:rsidRPr="005B2470">
        <w:rPr>
          <w:rFonts w:ascii="Arial" w:hAnsi="Arial" w:cs="Arial"/>
          <w:color w:val="auto"/>
          <w:szCs w:val="22"/>
        </w:rPr>
        <w:t xml:space="preserve">, </w:t>
      </w:r>
      <w:r w:rsidRPr="005B2470">
        <w:rPr>
          <w:rFonts w:ascii="Arial" w:hAnsi="Arial" w:cs="Arial"/>
          <w:color w:val="auto"/>
          <w:szCs w:val="22"/>
        </w:rPr>
        <w:t xml:space="preserve">but only to non-EU destinations, subject always to any other applicable sanctions legislation. </w:t>
      </w:r>
    </w:p>
    <w:p w:rsidR="00525B45" w:rsidRPr="005B2470" w:rsidRDefault="00525B45" w:rsidP="006C1E80">
      <w:pPr>
        <w:pStyle w:val="Body1"/>
        <w:spacing w:after="0"/>
        <w:jc w:val="both"/>
        <w:rPr>
          <w:rFonts w:ascii="Arial" w:hAnsi="Arial" w:cs="Arial"/>
          <w:color w:val="auto"/>
          <w:szCs w:val="22"/>
        </w:rPr>
      </w:pPr>
    </w:p>
    <w:p w:rsidR="00525B45" w:rsidRPr="005B2470" w:rsidRDefault="00525B45" w:rsidP="00E24597">
      <w:pPr>
        <w:pStyle w:val="Body1"/>
        <w:spacing w:after="0"/>
        <w:jc w:val="both"/>
        <w:rPr>
          <w:rFonts w:ascii="Arial" w:hAnsi="Arial" w:cs="Arial"/>
          <w:color w:val="auto"/>
          <w:szCs w:val="22"/>
        </w:rPr>
      </w:pPr>
      <w:r w:rsidRPr="005B2470">
        <w:rPr>
          <w:rFonts w:ascii="Arial" w:hAnsi="Arial" w:cs="Arial"/>
          <w:color w:val="auto"/>
          <w:szCs w:val="22"/>
        </w:rPr>
        <w:t>The prohibitions are specific to the named cargoes and do not generically refer to LNG and LPG (liquefied petroleum gas) cargoes.</w:t>
      </w:r>
      <w:r w:rsidR="00DA25AB" w:rsidRPr="005B2470">
        <w:rPr>
          <w:rFonts w:ascii="Arial" w:hAnsi="Arial" w:cs="Arial"/>
          <w:color w:val="auto"/>
          <w:szCs w:val="22"/>
        </w:rPr>
        <w:t xml:space="preserve"> </w:t>
      </w:r>
      <w:r w:rsidRPr="005B2470">
        <w:rPr>
          <w:rFonts w:ascii="Arial" w:hAnsi="Arial" w:cs="Arial"/>
          <w:color w:val="auto"/>
          <w:szCs w:val="22"/>
        </w:rPr>
        <w:t xml:space="preserve">Annex V to the </w:t>
      </w:r>
      <w:r w:rsidR="00D3170D" w:rsidRPr="005B2470">
        <w:rPr>
          <w:rFonts w:ascii="Arial" w:hAnsi="Arial" w:cs="Arial"/>
          <w:color w:val="auto"/>
          <w:szCs w:val="22"/>
        </w:rPr>
        <w:t>R</w:t>
      </w:r>
      <w:r w:rsidRPr="005B2470">
        <w:rPr>
          <w:rFonts w:ascii="Arial" w:hAnsi="Arial" w:cs="Arial"/>
          <w:color w:val="auto"/>
          <w:szCs w:val="22"/>
        </w:rPr>
        <w:t>egulation (list of "petroche</w:t>
      </w:r>
      <w:r w:rsidR="002910AE" w:rsidRPr="005B2470">
        <w:rPr>
          <w:rFonts w:ascii="Arial" w:hAnsi="Arial" w:cs="Arial"/>
          <w:color w:val="auto"/>
          <w:szCs w:val="22"/>
        </w:rPr>
        <w:t>mical products") does refer to e</w:t>
      </w:r>
      <w:r w:rsidRPr="005B2470">
        <w:rPr>
          <w:rFonts w:ascii="Arial" w:hAnsi="Arial" w:cs="Arial"/>
          <w:color w:val="auto"/>
          <w:szCs w:val="22"/>
        </w:rPr>
        <w:t>thylene, propylene and butadiene, elements of which may be found in LPG cargoes so if such cargoes are being contemplated for loading it would be prudent to</w:t>
      </w:r>
      <w:r w:rsidR="00DA25AB" w:rsidRPr="005B2470">
        <w:rPr>
          <w:rFonts w:ascii="Arial" w:hAnsi="Arial" w:cs="Arial"/>
          <w:color w:val="auto"/>
          <w:szCs w:val="22"/>
        </w:rPr>
        <w:t xml:space="preserve"> </w:t>
      </w:r>
      <w:r w:rsidRPr="005B2470">
        <w:rPr>
          <w:rFonts w:ascii="Arial" w:hAnsi="Arial" w:cs="Arial"/>
          <w:color w:val="auto"/>
          <w:szCs w:val="22"/>
        </w:rPr>
        <w:t>request product analysis details and to ascertain whether the cargo does contain any of the prohibited products identified in Annex V.</w:t>
      </w:r>
    </w:p>
    <w:p w:rsidR="009C3555" w:rsidRPr="005B2470" w:rsidRDefault="009C3555" w:rsidP="00E24597">
      <w:pPr>
        <w:pStyle w:val="Body1"/>
        <w:spacing w:after="0"/>
        <w:jc w:val="both"/>
        <w:rPr>
          <w:rFonts w:ascii="Arial" w:hAnsi="Arial" w:cs="Arial"/>
          <w:color w:val="auto"/>
          <w:szCs w:val="22"/>
        </w:rPr>
      </w:pPr>
    </w:p>
    <w:p w:rsidR="009C3555" w:rsidRPr="005B2470" w:rsidRDefault="00C569E3" w:rsidP="00E24597">
      <w:pPr>
        <w:pStyle w:val="Body1"/>
        <w:spacing w:after="0"/>
        <w:jc w:val="both"/>
        <w:rPr>
          <w:rFonts w:ascii="Arial" w:hAnsi="Arial" w:cs="Arial"/>
          <w:b/>
          <w:color w:val="auto"/>
          <w:szCs w:val="22"/>
        </w:rPr>
      </w:pPr>
      <w:r w:rsidRPr="005B2470">
        <w:rPr>
          <w:rFonts w:ascii="Arial" w:hAnsi="Arial" w:cs="Arial"/>
          <w:b/>
          <w:color w:val="auto"/>
          <w:szCs w:val="22"/>
        </w:rPr>
        <w:t>4.  Is there a</w:t>
      </w:r>
      <w:r w:rsidR="009C3555" w:rsidRPr="005B2470">
        <w:rPr>
          <w:rFonts w:ascii="Arial" w:hAnsi="Arial" w:cs="Arial"/>
          <w:b/>
          <w:color w:val="auto"/>
          <w:szCs w:val="22"/>
        </w:rPr>
        <w:t xml:space="preserve"> </w:t>
      </w:r>
      <w:proofErr w:type="spellStart"/>
      <w:r w:rsidR="009C3555" w:rsidRPr="005B2470">
        <w:rPr>
          <w:rFonts w:ascii="Arial" w:hAnsi="Arial" w:cs="Arial"/>
          <w:b/>
          <w:color w:val="auto"/>
          <w:szCs w:val="22"/>
        </w:rPr>
        <w:t>defence</w:t>
      </w:r>
      <w:proofErr w:type="spellEnd"/>
      <w:r w:rsidR="009C3555" w:rsidRPr="005B2470">
        <w:rPr>
          <w:rFonts w:ascii="Arial" w:hAnsi="Arial" w:cs="Arial"/>
          <w:b/>
          <w:color w:val="auto"/>
          <w:szCs w:val="22"/>
        </w:rPr>
        <w:t xml:space="preserve"> under the Regulations?</w:t>
      </w:r>
    </w:p>
    <w:p w:rsidR="009C3555" w:rsidRPr="005B2470" w:rsidRDefault="009C3555" w:rsidP="00E24597">
      <w:pPr>
        <w:pStyle w:val="Body1"/>
        <w:spacing w:after="0"/>
        <w:jc w:val="both"/>
        <w:rPr>
          <w:rFonts w:ascii="Arial" w:hAnsi="Arial" w:cs="Arial"/>
          <w:color w:val="auto"/>
          <w:szCs w:val="22"/>
        </w:rPr>
      </w:pPr>
    </w:p>
    <w:p w:rsidR="00525B45" w:rsidRPr="005B2470" w:rsidRDefault="009C3555" w:rsidP="00E24597">
      <w:pPr>
        <w:pStyle w:val="Body1"/>
        <w:spacing w:after="0"/>
        <w:jc w:val="both"/>
        <w:rPr>
          <w:rFonts w:ascii="Arial" w:hAnsi="Arial" w:cs="Arial"/>
          <w:color w:val="auto"/>
          <w:szCs w:val="22"/>
          <w:lang w:val="en-GB"/>
        </w:rPr>
      </w:pPr>
      <w:r w:rsidRPr="005B2470">
        <w:rPr>
          <w:rFonts w:ascii="Arial" w:hAnsi="Arial" w:cs="Arial"/>
          <w:color w:val="auto"/>
          <w:szCs w:val="22"/>
        </w:rPr>
        <w:t xml:space="preserve">Regulation 267/2012, article 42.2 provides “the measures set out in the present regulations shall not give rise to liability of any kind on the part of the natural or legal persons, entities or bodies concerned, if they did not know, and had no reasonable cause to suspect that their actions would infringe these prohibitions”.   </w:t>
      </w:r>
      <w:r w:rsidR="00164F99" w:rsidRPr="005B2470">
        <w:rPr>
          <w:rFonts w:ascii="Arial" w:hAnsi="Arial" w:cs="Arial"/>
          <w:color w:val="auto"/>
          <w:szCs w:val="22"/>
        </w:rPr>
        <w:t xml:space="preserve">To date, what constitutes sufficient evidence to allow </w:t>
      </w:r>
      <w:proofErr w:type="spellStart"/>
      <w:r w:rsidR="00164F99" w:rsidRPr="005B2470">
        <w:rPr>
          <w:rFonts w:ascii="Arial" w:hAnsi="Arial" w:cs="Arial"/>
          <w:color w:val="auto"/>
          <w:szCs w:val="22"/>
        </w:rPr>
        <w:t>shipowners</w:t>
      </w:r>
      <w:proofErr w:type="spellEnd"/>
      <w:r w:rsidR="00164F99" w:rsidRPr="005B2470">
        <w:rPr>
          <w:rFonts w:ascii="Arial" w:hAnsi="Arial" w:cs="Arial"/>
          <w:color w:val="auto"/>
          <w:szCs w:val="22"/>
        </w:rPr>
        <w:t xml:space="preserve"> to rely on this </w:t>
      </w:r>
      <w:proofErr w:type="spellStart"/>
      <w:r w:rsidR="00164F99" w:rsidRPr="005B2470">
        <w:rPr>
          <w:rFonts w:ascii="Arial" w:hAnsi="Arial" w:cs="Arial"/>
          <w:color w:val="auto"/>
          <w:szCs w:val="22"/>
        </w:rPr>
        <w:t>defence</w:t>
      </w:r>
      <w:proofErr w:type="spellEnd"/>
      <w:r w:rsidR="00164F99" w:rsidRPr="005B2470">
        <w:rPr>
          <w:rFonts w:ascii="Arial" w:hAnsi="Arial" w:cs="Arial"/>
          <w:color w:val="auto"/>
          <w:szCs w:val="22"/>
        </w:rPr>
        <w:t xml:space="preserve"> is untested.  </w:t>
      </w:r>
      <w:r w:rsidR="00784F48" w:rsidRPr="005B2470">
        <w:rPr>
          <w:rFonts w:ascii="Arial" w:hAnsi="Arial" w:cs="Arial"/>
          <w:color w:val="auto"/>
          <w:szCs w:val="22"/>
        </w:rPr>
        <w:t xml:space="preserve"> It is</w:t>
      </w:r>
      <w:r w:rsidRPr="005B2470">
        <w:rPr>
          <w:rFonts w:ascii="Arial" w:hAnsi="Arial" w:cs="Arial"/>
          <w:color w:val="auto"/>
          <w:szCs w:val="22"/>
        </w:rPr>
        <w:t xml:space="preserve"> recommend</w:t>
      </w:r>
      <w:r w:rsidR="00784F48" w:rsidRPr="005B2470">
        <w:rPr>
          <w:rFonts w:ascii="Arial" w:hAnsi="Arial" w:cs="Arial"/>
          <w:color w:val="auto"/>
          <w:szCs w:val="22"/>
        </w:rPr>
        <w:t xml:space="preserve">ed </w:t>
      </w:r>
      <w:r w:rsidRPr="005B2470">
        <w:rPr>
          <w:rFonts w:ascii="Arial" w:hAnsi="Arial" w:cs="Arial"/>
          <w:color w:val="auto"/>
          <w:szCs w:val="22"/>
        </w:rPr>
        <w:t xml:space="preserve">that </w:t>
      </w:r>
      <w:proofErr w:type="spellStart"/>
      <w:r w:rsidRPr="005B2470">
        <w:rPr>
          <w:rFonts w:ascii="Arial" w:hAnsi="Arial" w:cs="Arial"/>
          <w:color w:val="auto"/>
          <w:szCs w:val="22"/>
        </w:rPr>
        <w:t>shipowners</w:t>
      </w:r>
      <w:proofErr w:type="spellEnd"/>
      <w:r w:rsidRPr="005B2470">
        <w:rPr>
          <w:rFonts w:ascii="Arial" w:hAnsi="Arial" w:cs="Arial"/>
          <w:color w:val="auto"/>
          <w:szCs w:val="22"/>
        </w:rPr>
        <w:t xml:space="preserve"> </w:t>
      </w:r>
      <w:r w:rsidRPr="005B2470">
        <w:rPr>
          <w:rFonts w:ascii="Arial" w:eastAsiaTheme="minorHAnsi" w:hAnsi="Arial" w:cs="Arial"/>
          <w:color w:val="auto"/>
          <w:szCs w:val="22"/>
          <w:lang w:val="en-GB"/>
        </w:rPr>
        <w:t xml:space="preserve">exercise </w:t>
      </w:r>
      <w:r w:rsidR="0084493E" w:rsidRPr="005B2470">
        <w:rPr>
          <w:rFonts w:ascii="Arial" w:hAnsi="Arial" w:cs="Arial"/>
          <w:color w:val="auto"/>
          <w:szCs w:val="22"/>
        </w:rPr>
        <w:t xml:space="preserve">due </w:t>
      </w:r>
      <w:r w:rsidRPr="005B2470">
        <w:rPr>
          <w:rFonts w:ascii="Arial" w:eastAsiaTheme="minorHAnsi" w:hAnsi="Arial" w:cs="Arial"/>
          <w:color w:val="auto"/>
          <w:szCs w:val="22"/>
          <w:lang w:val="en-GB"/>
        </w:rPr>
        <w:t xml:space="preserve">diligence in identifying the source of </w:t>
      </w:r>
      <w:r w:rsidRPr="005B2470">
        <w:rPr>
          <w:rFonts w:ascii="Arial" w:hAnsi="Arial" w:cs="Arial"/>
          <w:color w:val="auto"/>
          <w:szCs w:val="22"/>
        </w:rPr>
        <w:t>cargoes to ensure they are not subject to sanctions.</w:t>
      </w:r>
    </w:p>
    <w:p w:rsidR="00610ECA" w:rsidRPr="005B2470" w:rsidRDefault="00610ECA" w:rsidP="006C1E80">
      <w:pPr>
        <w:pStyle w:val="Body1"/>
        <w:spacing w:after="0"/>
        <w:jc w:val="both"/>
        <w:rPr>
          <w:rFonts w:ascii="Arial" w:hAnsi="Arial" w:cs="Arial"/>
          <w:b/>
          <w:color w:val="auto"/>
          <w:szCs w:val="22"/>
          <w:lang w:val="en-GB"/>
        </w:rPr>
      </w:pPr>
    </w:p>
    <w:p w:rsidR="00525B45" w:rsidRPr="005B2470" w:rsidRDefault="009C3555" w:rsidP="006C1E80">
      <w:pPr>
        <w:pStyle w:val="Body1"/>
        <w:spacing w:after="0"/>
        <w:jc w:val="both"/>
        <w:rPr>
          <w:rFonts w:ascii="Arial" w:hAnsi="Arial" w:cs="Arial"/>
          <w:b/>
          <w:color w:val="auto"/>
          <w:szCs w:val="22"/>
        </w:rPr>
      </w:pPr>
      <w:r w:rsidRPr="005B2470">
        <w:rPr>
          <w:rFonts w:ascii="Arial" w:hAnsi="Arial" w:cs="Arial"/>
          <w:b/>
          <w:color w:val="auto"/>
          <w:szCs w:val="22"/>
        </w:rPr>
        <w:t>5</w:t>
      </w:r>
      <w:r w:rsidR="00525B45" w:rsidRPr="005B2470">
        <w:rPr>
          <w:rFonts w:ascii="Arial" w:hAnsi="Arial" w:cs="Arial"/>
          <w:b/>
          <w:color w:val="auto"/>
          <w:szCs w:val="22"/>
        </w:rPr>
        <w:t>. How will the insurance and reinsurance prohibitions in the Regulation impact on P&amp;I cover</w:t>
      </w:r>
      <w:r w:rsidR="00C524F6" w:rsidRPr="005B2470">
        <w:rPr>
          <w:rFonts w:ascii="Arial" w:hAnsi="Arial" w:cs="Arial"/>
          <w:b/>
          <w:color w:val="auto"/>
          <w:szCs w:val="22"/>
        </w:rPr>
        <w:t>?</w:t>
      </w:r>
    </w:p>
    <w:p w:rsidR="00525B45" w:rsidRPr="005B2470" w:rsidRDefault="00525B45" w:rsidP="006C1E80">
      <w:pPr>
        <w:pStyle w:val="Body1"/>
        <w:spacing w:after="0"/>
        <w:jc w:val="both"/>
        <w:rPr>
          <w:rFonts w:ascii="Arial" w:hAnsi="Arial" w:cs="Arial"/>
          <w:color w:val="auto"/>
          <w:szCs w:val="22"/>
        </w:rPr>
      </w:pPr>
    </w:p>
    <w:p w:rsidR="00525B45" w:rsidRPr="005B2470" w:rsidRDefault="00525B45" w:rsidP="006C1E80">
      <w:pPr>
        <w:pStyle w:val="Body1"/>
        <w:spacing w:after="0"/>
        <w:jc w:val="both"/>
        <w:rPr>
          <w:rFonts w:ascii="Arial" w:hAnsi="Arial" w:cs="Arial"/>
          <w:color w:val="auto"/>
          <w:szCs w:val="22"/>
        </w:rPr>
      </w:pPr>
      <w:r w:rsidRPr="005B2470">
        <w:rPr>
          <w:rFonts w:ascii="Arial" w:hAnsi="Arial" w:cs="Arial"/>
          <w:color w:val="auto"/>
          <w:szCs w:val="22"/>
        </w:rPr>
        <w:t>All International Group clubs have included within their rules</w:t>
      </w:r>
      <w:r w:rsidR="00DA25AB" w:rsidRPr="005B2470">
        <w:rPr>
          <w:rFonts w:ascii="Arial" w:hAnsi="Arial" w:cs="Arial"/>
          <w:color w:val="auto"/>
          <w:szCs w:val="22"/>
        </w:rPr>
        <w:t xml:space="preserve"> </w:t>
      </w:r>
      <w:r w:rsidRPr="005B2470">
        <w:rPr>
          <w:rFonts w:ascii="Arial" w:hAnsi="Arial" w:cs="Arial"/>
          <w:color w:val="auto"/>
          <w:szCs w:val="22"/>
        </w:rPr>
        <w:t>either express sanctions cover termination or exclusion provisions or imprudent or improper trading</w:t>
      </w:r>
      <w:r w:rsidR="0084493E" w:rsidRPr="005B2470">
        <w:rPr>
          <w:rFonts w:ascii="Arial" w:hAnsi="Arial" w:cs="Arial"/>
          <w:color w:val="auto"/>
          <w:szCs w:val="22"/>
        </w:rPr>
        <w:t xml:space="preserve"> </w:t>
      </w:r>
      <w:r w:rsidRPr="005B2470">
        <w:rPr>
          <w:rFonts w:ascii="Arial" w:hAnsi="Arial" w:cs="Arial"/>
          <w:color w:val="auto"/>
          <w:szCs w:val="22"/>
        </w:rPr>
        <w:t xml:space="preserve">exclusion provisions. The effect of those rules is to withdraw or exclude insurance cover or preclude recovery in relation to liabilities incurred whilst a vessel is performing sanctions or prohibition offending voyages. To the extent that a </w:t>
      </w:r>
      <w:proofErr w:type="spellStart"/>
      <w:r w:rsidRPr="005B2470">
        <w:rPr>
          <w:rFonts w:ascii="Arial" w:hAnsi="Arial" w:cs="Arial"/>
          <w:color w:val="auto"/>
          <w:szCs w:val="22"/>
        </w:rPr>
        <w:t>shipowner</w:t>
      </w:r>
      <w:proofErr w:type="spellEnd"/>
      <w:r w:rsidRPr="005B2470">
        <w:rPr>
          <w:rFonts w:ascii="Arial" w:hAnsi="Arial" w:cs="Arial"/>
          <w:color w:val="auto"/>
          <w:szCs w:val="22"/>
        </w:rPr>
        <w:t xml:space="preserve"> undertakes such a voyage, his liabilities will not be insured by his International Group Club. </w:t>
      </w:r>
      <w:r w:rsidR="009455C9" w:rsidRPr="005B2470">
        <w:rPr>
          <w:rFonts w:ascii="Arial" w:hAnsi="Arial" w:cs="Arial"/>
          <w:color w:val="auto"/>
          <w:szCs w:val="22"/>
        </w:rPr>
        <w:t xml:space="preserve"> If in doubt, </w:t>
      </w:r>
      <w:r w:rsidR="00730113" w:rsidRPr="005B2470">
        <w:rPr>
          <w:rFonts w:ascii="Arial" w:hAnsi="Arial" w:cs="Arial"/>
          <w:color w:val="auto"/>
          <w:szCs w:val="22"/>
        </w:rPr>
        <w:t>members</w:t>
      </w:r>
      <w:r w:rsidR="009455C9" w:rsidRPr="005B2470">
        <w:rPr>
          <w:rFonts w:ascii="Arial" w:hAnsi="Arial" w:cs="Arial"/>
          <w:color w:val="auto"/>
          <w:szCs w:val="22"/>
        </w:rPr>
        <w:t xml:space="preserve"> should liaise with their club to clarify the precise nature of that club’s rule(s) on sanctions.</w:t>
      </w:r>
    </w:p>
    <w:p w:rsidR="00525B45" w:rsidRPr="005B2470" w:rsidRDefault="00525B45" w:rsidP="006C1E80">
      <w:pPr>
        <w:pStyle w:val="Body1"/>
        <w:spacing w:after="0"/>
        <w:jc w:val="both"/>
        <w:rPr>
          <w:rFonts w:ascii="Arial" w:hAnsi="Arial" w:cs="Arial"/>
          <w:color w:val="auto"/>
          <w:szCs w:val="22"/>
        </w:rPr>
      </w:pPr>
    </w:p>
    <w:p w:rsidR="00525B45" w:rsidRPr="005B2470" w:rsidRDefault="00525B45" w:rsidP="006C1E80">
      <w:pPr>
        <w:pStyle w:val="Body1"/>
        <w:spacing w:after="0"/>
        <w:jc w:val="both"/>
        <w:rPr>
          <w:rFonts w:ascii="Arial" w:hAnsi="Arial" w:cs="Arial"/>
          <w:color w:val="auto"/>
          <w:szCs w:val="22"/>
        </w:rPr>
      </w:pPr>
      <w:r w:rsidRPr="005B2470">
        <w:rPr>
          <w:rFonts w:ascii="Arial" w:hAnsi="Arial" w:cs="Arial"/>
          <w:color w:val="auto"/>
          <w:szCs w:val="22"/>
        </w:rPr>
        <w:t xml:space="preserve">Not all International Group clubs are incorporated, domiciled or regulated within the EU. In relation to the shipment of the prohibited </w:t>
      </w:r>
      <w:r w:rsidR="003E40D8" w:rsidRPr="005B2470">
        <w:rPr>
          <w:rFonts w:ascii="Arial" w:hAnsi="Arial" w:cs="Arial"/>
          <w:color w:val="auto"/>
          <w:szCs w:val="22"/>
        </w:rPr>
        <w:t xml:space="preserve">Iranian </w:t>
      </w:r>
      <w:r w:rsidRPr="005B2470">
        <w:rPr>
          <w:rFonts w:ascii="Arial" w:hAnsi="Arial" w:cs="Arial"/>
          <w:color w:val="auto"/>
          <w:szCs w:val="22"/>
        </w:rPr>
        <w:t xml:space="preserve">cargoes </w:t>
      </w:r>
      <w:r w:rsidR="00784F48" w:rsidRPr="005B2470">
        <w:rPr>
          <w:rFonts w:ascii="Arial" w:hAnsi="Arial" w:cs="Arial"/>
          <w:color w:val="auto"/>
          <w:szCs w:val="22"/>
        </w:rPr>
        <w:t xml:space="preserve">or cargoes being exported from Iran </w:t>
      </w:r>
      <w:r w:rsidRPr="005B2470">
        <w:rPr>
          <w:rFonts w:ascii="Arial" w:hAnsi="Arial" w:cs="Arial"/>
          <w:color w:val="auto"/>
          <w:szCs w:val="22"/>
        </w:rPr>
        <w:t xml:space="preserve">for delivery inside </w:t>
      </w:r>
      <w:r w:rsidR="003E40D8" w:rsidRPr="005B2470">
        <w:rPr>
          <w:rFonts w:ascii="Arial" w:hAnsi="Arial" w:cs="Arial"/>
          <w:color w:val="auto"/>
          <w:szCs w:val="22"/>
        </w:rPr>
        <w:t>or</w:t>
      </w:r>
      <w:r w:rsidRPr="005B2470">
        <w:rPr>
          <w:rFonts w:ascii="Arial" w:hAnsi="Arial" w:cs="Arial"/>
          <w:color w:val="auto"/>
          <w:szCs w:val="22"/>
        </w:rPr>
        <w:t xml:space="preserve"> outside the EU, how will the amended measures relating to third party liability and environmental liability insurance and reinsurance, apply to EU and non-EU regulated clubs?</w:t>
      </w:r>
    </w:p>
    <w:p w:rsidR="00525B45" w:rsidRPr="005B2470" w:rsidRDefault="00525B45" w:rsidP="006C1E80">
      <w:pPr>
        <w:pStyle w:val="Body1"/>
        <w:spacing w:after="0"/>
        <w:jc w:val="both"/>
        <w:rPr>
          <w:rFonts w:ascii="Arial" w:hAnsi="Arial" w:cs="Arial"/>
          <w:color w:val="auto"/>
          <w:szCs w:val="22"/>
        </w:rPr>
      </w:pPr>
    </w:p>
    <w:p w:rsidR="00525B45" w:rsidRPr="005B2470" w:rsidRDefault="00525B45" w:rsidP="005514D7">
      <w:pPr>
        <w:pStyle w:val="Body1"/>
        <w:spacing w:after="0"/>
        <w:jc w:val="both"/>
        <w:rPr>
          <w:rFonts w:ascii="Arial" w:hAnsi="Arial" w:cs="Arial"/>
          <w:b/>
          <w:color w:val="auto"/>
          <w:szCs w:val="22"/>
        </w:rPr>
      </w:pPr>
      <w:r w:rsidRPr="005B2470">
        <w:rPr>
          <w:rFonts w:ascii="Arial" w:hAnsi="Arial" w:cs="Arial"/>
          <w:b/>
          <w:color w:val="auto"/>
          <w:szCs w:val="22"/>
        </w:rPr>
        <w:t>(</w:t>
      </w:r>
      <w:proofErr w:type="spellStart"/>
      <w:r w:rsidRPr="005B2470">
        <w:rPr>
          <w:rFonts w:ascii="Arial" w:hAnsi="Arial" w:cs="Arial"/>
          <w:b/>
          <w:color w:val="auto"/>
          <w:szCs w:val="22"/>
        </w:rPr>
        <w:t>i</w:t>
      </w:r>
      <w:proofErr w:type="spellEnd"/>
      <w:r w:rsidRPr="005B2470">
        <w:rPr>
          <w:rFonts w:ascii="Arial" w:hAnsi="Arial" w:cs="Arial"/>
          <w:b/>
          <w:color w:val="auto"/>
          <w:szCs w:val="22"/>
        </w:rPr>
        <w:t>)</w:t>
      </w:r>
      <w:r w:rsidRPr="005B2470">
        <w:rPr>
          <w:rFonts w:ascii="Arial" w:hAnsi="Arial" w:cs="Arial"/>
          <w:b/>
          <w:color w:val="auto"/>
          <w:szCs w:val="22"/>
        </w:rPr>
        <w:tab/>
        <w:t>Cargoes for delivery within the EU</w:t>
      </w:r>
    </w:p>
    <w:p w:rsidR="00525B45" w:rsidRPr="005B2470" w:rsidRDefault="00525B45" w:rsidP="006C1E80">
      <w:pPr>
        <w:pStyle w:val="Body1"/>
        <w:spacing w:after="0"/>
        <w:jc w:val="both"/>
        <w:rPr>
          <w:rFonts w:ascii="Arial" w:hAnsi="Arial" w:cs="Arial"/>
          <w:color w:val="auto"/>
          <w:szCs w:val="22"/>
        </w:rPr>
      </w:pPr>
    </w:p>
    <w:p w:rsidR="005B6567" w:rsidRPr="005B2470" w:rsidRDefault="00525B45" w:rsidP="005B6567">
      <w:pPr>
        <w:pStyle w:val="Body1"/>
        <w:spacing w:after="0"/>
        <w:jc w:val="both"/>
        <w:rPr>
          <w:rFonts w:ascii="Arial" w:hAnsi="Arial" w:cs="Arial"/>
          <w:color w:val="auto"/>
          <w:szCs w:val="22"/>
        </w:rPr>
      </w:pPr>
      <w:r w:rsidRPr="005B2470">
        <w:rPr>
          <w:rFonts w:ascii="Arial" w:hAnsi="Arial" w:cs="Arial"/>
          <w:color w:val="auto"/>
          <w:szCs w:val="22"/>
        </w:rPr>
        <w:t xml:space="preserve">EU and non-EU regulated Clubs may </w:t>
      </w:r>
      <w:r w:rsidR="003E40D8" w:rsidRPr="005B2470">
        <w:rPr>
          <w:rFonts w:ascii="Arial" w:hAnsi="Arial" w:cs="Arial"/>
          <w:color w:val="auto"/>
          <w:szCs w:val="22"/>
        </w:rPr>
        <w:t xml:space="preserve">not </w:t>
      </w:r>
      <w:r w:rsidRPr="005B2470">
        <w:rPr>
          <w:rFonts w:ascii="Arial" w:hAnsi="Arial" w:cs="Arial"/>
          <w:color w:val="auto"/>
          <w:szCs w:val="22"/>
        </w:rPr>
        <w:t xml:space="preserve">provide cover to EU and non-EU </w:t>
      </w:r>
      <w:proofErr w:type="spellStart"/>
      <w:r w:rsidRPr="005B2470">
        <w:rPr>
          <w:rFonts w:ascii="Arial" w:hAnsi="Arial" w:cs="Arial"/>
          <w:color w:val="auto"/>
          <w:szCs w:val="22"/>
        </w:rPr>
        <w:t>shipowners</w:t>
      </w:r>
      <w:proofErr w:type="spellEnd"/>
      <w:r w:rsidRPr="005B2470">
        <w:rPr>
          <w:rFonts w:ascii="Arial" w:hAnsi="Arial" w:cs="Arial"/>
          <w:color w:val="auto"/>
          <w:szCs w:val="22"/>
        </w:rPr>
        <w:t xml:space="preserve"> </w:t>
      </w:r>
      <w:r w:rsidR="00A235B5" w:rsidRPr="005B2470">
        <w:rPr>
          <w:rFonts w:ascii="Arial" w:hAnsi="Arial" w:cs="Arial"/>
          <w:color w:val="auto"/>
          <w:szCs w:val="22"/>
        </w:rPr>
        <w:t>save where one of the limited exemptions referred to in FAQ 2 and set out in articles 12.1 (b) and (c) and 14.1 (b) and (c) applies</w:t>
      </w:r>
      <w:r w:rsidR="00663AE1" w:rsidRPr="005B2470">
        <w:rPr>
          <w:rFonts w:ascii="Arial" w:hAnsi="Arial" w:cs="Arial"/>
          <w:color w:val="auto"/>
          <w:szCs w:val="22"/>
        </w:rPr>
        <w:t xml:space="preserve">. </w:t>
      </w:r>
    </w:p>
    <w:p w:rsidR="00A51981" w:rsidRPr="005B2470" w:rsidRDefault="00A51981" w:rsidP="006C1E80">
      <w:pPr>
        <w:pStyle w:val="Body1"/>
        <w:spacing w:after="0"/>
        <w:jc w:val="both"/>
        <w:rPr>
          <w:rFonts w:ascii="Arial" w:hAnsi="Arial" w:cs="Arial"/>
          <w:color w:val="auto"/>
          <w:szCs w:val="22"/>
          <w:lang w:eastAsia="ja-JP"/>
        </w:rPr>
      </w:pPr>
    </w:p>
    <w:p w:rsidR="00554DF9" w:rsidRPr="005B2470" w:rsidRDefault="00554DF9" w:rsidP="006C1E80">
      <w:pPr>
        <w:pStyle w:val="Body1"/>
        <w:spacing w:after="0"/>
        <w:jc w:val="both"/>
        <w:rPr>
          <w:rFonts w:ascii="Arial" w:hAnsi="Arial" w:cs="Arial"/>
          <w:color w:val="auto"/>
          <w:szCs w:val="22"/>
          <w:lang w:eastAsia="ja-JP"/>
        </w:rPr>
      </w:pPr>
    </w:p>
    <w:p w:rsidR="00554DF9" w:rsidRPr="005B2470" w:rsidRDefault="00525B45" w:rsidP="00554DF9">
      <w:pPr>
        <w:pStyle w:val="Body1"/>
        <w:numPr>
          <w:ilvl w:val="0"/>
          <w:numId w:val="10"/>
        </w:numPr>
        <w:spacing w:after="0"/>
        <w:jc w:val="both"/>
        <w:rPr>
          <w:rFonts w:ascii="Arial" w:hAnsi="Arial" w:cs="Arial"/>
          <w:b/>
          <w:color w:val="auto"/>
          <w:szCs w:val="22"/>
          <w:lang w:eastAsia="ja-JP"/>
        </w:rPr>
      </w:pPr>
      <w:r w:rsidRPr="005B2470">
        <w:rPr>
          <w:rFonts w:ascii="Arial" w:hAnsi="Arial" w:cs="Arial"/>
          <w:b/>
          <w:color w:val="auto"/>
          <w:szCs w:val="22"/>
        </w:rPr>
        <w:t>Cargoes for delivery outside the EU</w:t>
      </w:r>
    </w:p>
    <w:p w:rsidR="00554DF9" w:rsidRPr="005B2470" w:rsidRDefault="00554DF9" w:rsidP="00554DF9">
      <w:pPr>
        <w:pStyle w:val="Body1"/>
        <w:spacing w:after="0"/>
        <w:ind w:left="1080"/>
        <w:jc w:val="both"/>
        <w:rPr>
          <w:rFonts w:ascii="Arial" w:hAnsi="Arial" w:cs="Arial"/>
          <w:b/>
          <w:color w:val="auto"/>
          <w:szCs w:val="22"/>
          <w:lang w:eastAsia="ja-JP"/>
        </w:rPr>
      </w:pPr>
    </w:p>
    <w:p w:rsidR="00525B45" w:rsidRPr="005B2470" w:rsidRDefault="00525B45" w:rsidP="00397982">
      <w:pPr>
        <w:pStyle w:val="Body1"/>
        <w:numPr>
          <w:ilvl w:val="0"/>
          <w:numId w:val="9"/>
        </w:numPr>
        <w:spacing w:after="0"/>
        <w:ind w:hanging="720"/>
        <w:jc w:val="both"/>
        <w:rPr>
          <w:rFonts w:ascii="Arial" w:hAnsi="Arial" w:cs="Arial"/>
          <w:b/>
          <w:color w:val="auto"/>
          <w:szCs w:val="22"/>
        </w:rPr>
      </w:pPr>
      <w:r w:rsidRPr="005B2470">
        <w:rPr>
          <w:rFonts w:ascii="Arial" w:hAnsi="Arial" w:cs="Arial"/>
          <w:b/>
          <w:color w:val="auto"/>
          <w:szCs w:val="22"/>
        </w:rPr>
        <w:t>EU regulated clubs</w:t>
      </w:r>
    </w:p>
    <w:p w:rsidR="00525B45" w:rsidRPr="005B2470" w:rsidRDefault="00525B45" w:rsidP="00577047">
      <w:pPr>
        <w:pStyle w:val="Body1"/>
        <w:spacing w:after="0"/>
        <w:jc w:val="both"/>
        <w:rPr>
          <w:rFonts w:ascii="Arial" w:hAnsi="Arial" w:cs="Arial"/>
          <w:color w:val="auto"/>
          <w:szCs w:val="22"/>
        </w:rPr>
      </w:pPr>
    </w:p>
    <w:p w:rsidR="00525B45" w:rsidRPr="005B2470" w:rsidRDefault="00525B45" w:rsidP="00991F1A">
      <w:pPr>
        <w:pStyle w:val="Body1"/>
        <w:spacing w:after="0"/>
        <w:jc w:val="both"/>
        <w:rPr>
          <w:rFonts w:ascii="Arial" w:hAnsi="Arial" w:cs="Arial"/>
          <w:b/>
          <w:color w:val="auto"/>
          <w:szCs w:val="22"/>
        </w:rPr>
      </w:pPr>
      <w:r w:rsidRPr="005B2470">
        <w:rPr>
          <w:rFonts w:ascii="Arial" w:hAnsi="Arial" w:cs="Arial"/>
          <w:color w:val="auto"/>
          <w:szCs w:val="22"/>
        </w:rPr>
        <w:t xml:space="preserve">The </w:t>
      </w:r>
      <w:r w:rsidR="003E40D8" w:rsidRPr="005B2470">
        <w:rPr>
          <w:rFonts w:ascii="Arial" w:hAnsi="Arial" w:cs="Arial"/>
          <w:color w:val="auto"/>
          <w:szCs w:val="22"/>
        </w:rPr>
        <w:t xml:space="preserve">purchase, import or </w:t>
      </w:r>
      <w:r w:rsidRPr="005B2470">
        <w:rPr>
          <w:rFonts w:ascii="Arial" w:hAnsi="Arial" w:cs="Arial"/>
          <w:color w:val="auto"/>
          <w:szCs w:val="22"/>
        </w:rPr>
        <w:t xml:space="preserve">transportation of </w:t>
      </w:r>
      <w:r w:rsidR="008D4937" w:rsidRPr="005B2470">
        <w:rPr>
          <w:rFonts w:ascii="Arial" w:hAnsi="Arial" w:cs="Arial"/>
          <w:color w:val="auto"/>
          <w:szCs w:val="22"/>
        </w:rPr>
        <w:t>the prohibited</w:t>
      </w:r>
      <w:r w:rsidRPr="005B2470">
        <w:rPr>
          <w:rFonts w:ascii="Arial" w:hAnsi="Arial" w:cs="Arial"/>
          <w:color w:val="auto"/>
          <w:szCs w:val="22"/>
        </w:rPr>
        <w:t xml:space="preserve"> </w:t>
      </w:r>
      <w:r w:rsidR="003E40D8" w:rsidRPr="005B2470">
        <w:rPr>
          <w:rFonts w:ascii="Arial" w:hAnsi="Arial" w:cs="Arial"/>
          <w:color w:val="auto"/>
          <w:szCs w:val="22"/>
        </w:rPr>
        <w:t xml:space="preserve">Iranian </w:t>
      </w:r>
      <w:r w:rsidRPr="005B2470">
        <w:rPr>
          <w:rFonts w:ascii="Arial" w:hAnsi="Arial" w:cs="Arial"/>
          <w:color w:val="auto"/>
          <w:szCs w:val="22"/>
        </w:rPr>
        <w:t xml:space="preserve">cargoes </w:t>
      </w:r>
      <w:r w:rsidR="002C46C2" w:rsidRPr="005B2470">
        <w:rPr>
          <w:rFonts w:ascii="Arial" w:hAnsi="Arial" w:cs="Arial"/>
          <w:color w:val="auto"/>
          <w:szCs w:val="22"/>
        </w:rPr>
        <w:t xml:space="preserve">or cargoes which have been imported from Iran </w:t>
      </w:r>
      <w:r w:rsidRPr="005B2470">
        <w:rPr>
          <w:rFonts w:ascii="Arial" w:hAnsi="Arial" w:cs="Arial"/>
          <w:color w:val="auto"/>
          <w:szCs w:val="22"/>
        </w:rPr>
        <w:t xml:space="preserve">outside the EU by a non-EU </w:t>
      </w:r>
      <w:proofErr w:type="spellStart"/>
      <w:r w:rsidRPr="005B2470">
        <w:rPr>
          <w:rFonts w:ascii="Arial" w:hAnsi="Arial" w:cs="Arial"/>
          <w:color w:val="auto"/>
          <w:szCs w:val="22"/>
        </w:rPr>
        <w:t>shipowner</w:t>
      </w:r>
      <w:proofErr w:type="spellEnd"/>
      <w:r w:rsidRPr="005B2470">
        <w:rPr>
          <w:rFonts w:ascii="Arial" w:hAnsi="Arial" w:cs="Arial"/>
          <w:color w:val="auto"/>
          <w:szCs w:val="22"/>
        </w:rPr>
        <w:t xml:space="preserve"> will not contravene the Regulation</w:t>
      </w:r>
      <w:r w:rsidR="003E40D8" w:rsidRPr="005B2470">
        <w:rPr>
          <w:rFonts w:ascii="Arial" w:hAnsi="Arial" w:cs="Arial"/>
          <w:color w:val="auto"/>
          <w:szCs w:val="22"/>
        </w:rPr>
        <w:t>.  However,</w:t>
      </w:r>
      <w:r w:rsidRPr="005B2470">
        <w:rPr>
          <w:rFonts w:ascii="Arial" w:hAnsi="Arial" w:cs="Arial"/>
          <w:color w:val="auto"/>
          <w:szCs w:val="22"/>
        </w:rPr>
        <w:t xml:space="preserve"> insurance and reinsurance cover relating to such </w:t>
      </w:r>
      <w:r w:rsidR="003E40D8" w:rsidRPr="005B2470">
        <w:rPr>
          <w:rFonts w:ascii="Arial" w:hAnsi="Arial" w:cs="Arial"/>
          <w:color w:val="auto"/>
          <w:szCs w:val="22"/>
        </w:rPr>
        <w:t xml:space="preserve">purchase, import or </w:t>
      </w:r>
      <w:r w:rsidRPr="005B2470">
        <w:rPr>
          <w:rFonts w:ascii="Arial" w:hAnsi="Arial" w:cs="Arial"/>
          <w:color w:val="auto"/>
          <w:szCs w:val="22"/>
        </w:rPr>
        <w:t xml:space="preserve">transportation provided by EU domiciled or regulated insurers and/or reinsurers is prohibited under the Regulation and </w:t>
      </w:r>
      <w:r w:rsidR="003E40D8" w:rsidRPr="005B2470">
        <w:rPr>
          <w:rFonts w:ascii="Arial" w:hAnsi="Arial" w:cs="Arial"/>
          <w:color w:val="auto"/>
          <w:szCs w:val="22"/>
        </w:rPr>
        <w:t xml:space="preserve">(e.g. for carrying </w:t>
      </w:r>
      <w:proofErr w:type="spellStart"/>
      <w:r w:rsidR="003E40D8" w:rsidRPr="005B2470">
        <w:rPr>
          <w:rFonts w:ascii="Arial" w:hAnsi="Arial" w:cs="Arial"/>
          <w:color w:val="auto"/>
          <w:szCs w:val="22"/>
        </w:rPr>
        <w:t>shipowners</w:t>
      </w:r>
      <w:proofErr w:type="spellEnd"/>
      <w:r w:rsidR="003E40D8" w:rsidRPr="005B2470">
        <w:rPr>
          <w:rFonts w:ascii="Arial" w:hAnsi="Arial" w:cs="Arial"/>
          <w:color w:val="auto"/>
          <w:szCs w:val="22"/>
        </w:rPr>
        <w:t xml:space="preserve">) </w:t>
      </w:r>
      <w:r w:rsidRPr="005B2470">
        <w:rPr>
          <w:rFonts w:ascii="Arial" w:hAnsi="Arial" w:cs="Arial"/>
          <w:color w:val="auto"/>
          <w:szCs w:val="22"/>
        </w:rPr>
        <w:t>such transport</w:t>
      </w:r>
      <w:r w:rsidR="00730113" w:rsidRPr="005B2470">
        <w:rPr>
          <w:rFonts w:ascii="Arial" w:hAnsi="Arial" w:cs="Arial"/>
          <w:color w:val="auto"/>
          <w:szCs w:val="22"/>
        </w:rPr>
        <w:t>ation</w:t>
      </w:r>
      <w:r w:rsidRPr="005B2470">
        <w:rPr>
          <w:rFonts w:ascii="Arial" w:hAnsi="Arial" w:cs="Arial"/>
          <w:color w:val="auto"/>
          <w:szCs w:val="22"/>
        </w:rPr>
        <w:t xml:space="preserve"> would trigger the clubs</w:t>
      </w:r>
      <w:r w:rsidR="003E40D8" w:rsidRPr="005B2470">
        <w:rPr>
          <w:rFonts w:ascii="Arial" w:hAnsi="Arial" w:cs="Arial"/>
          <w:color w:val="auto"/>
          <w:szCs w:val="22"/>
        </w:rPr>
        <w:t>'</w:t>
      </w:r>
      <w:r w:rsidRPr="005B2470">
        <w:rPr>
          <w:rFonts w:ascii="Arial" w:hAnsi="Arial" w:cs="Arial"/>
          <w:color w:val="auto"/>
          <w:szCs w:val="22"/>
        </w:rPr>
        <w:t xml:space="preserve"> sanctions cover exclusions. It is therefore prudent for </w:t>
      </w:r>
      <w:proofErr w:type="spellStart"/>
      <w:r w:rsidRPr="005B2470">
        <w:rPr>
          <w:rFonts w:ascii="Arial" w:hAnsi="Arial" w:cs="Arial"/>
          <w:color w:val="auto"/>
          <w:szCs w:val="22"/>
        </w:rPr>
        <w:t>shipowners</w:t>
      </w:r>
      <w:proofErr w:type="spellEnd"/>
      <w:r w:rsidR="00730113" w:rsidRPr="005B2470">
        <w:rPr>
          <w:rFonts w:ascii="Arial" w:hAnsi="Arial" w:cs="Arial"/>
          <w:color w:val="auto"/>
          <w:szCs w:val="22"/>
        </w:rPr>
        <w:t xml:space="preserve"> </w:t>
      </w:r>
      <w:r w:rsidRPr="005B2470">
        <w:rPr>
          <w:rFonts w:ascii="Arial" w:hAnsi="Arial" w:cs="Arial"/>
          <w:color w:val="auto"/>
          <w:szCs w:val="22"/>
        </w:rPr>
        <w:t>to seek advice from their club before agreeing to fix voyages of products that fall within the scope of the Regulation and its annexes</w:t>
      </w:r>
      <w:r w:rsidR="00E5015C" w:rsidRPr="005B2470">
        <w:rPr>
          <w:rFonts w:ascii="Arial" w:hAnsi="Arial" w:cs="Arial"/>
          <w:color w:val="auto"/>
          <w:szCs w:val="22"/>
        </w:rPr>
        <w:t>.</w:t>
      </w:r>
    </w:p>
    <w:p w:rsidR="00525B45" w:rsidRPr="005B2470" w:rsidRDefault="00525B45" w:rsidP="00577047">
      <w:pPr>
        <w:pStyle w:val="Body1"/>
        <w:spacing w:after="0"/>
        <w:jc w:val="both"/>
        <w:rPr>
          <w:rFonts w:ascii="Arial" w:hAnsi="Arial" w:cs="Arial"/>
          <w:b/>
          <w:color w:val="auto"/>
          <w:szCs w:val="22"/>
        </w:rPr>
      </w:pPr>
    </w:p>
    <w:p w:rsidR="00525B45" w:rsidRPr="005B2470" w:rsidRDefault="00525B45" w:rsidP="00397982">
      <w:pPr>
        <w:pStyle w:val="Body1"/>
        <w:spacing w:after="0"/>
        <w:ind w:left="360" w:hanging="360"/>
        <w:jc w:val="both"/>
        <w:rPr>
          <w:rFonts w:ascii="Arial" w:hAnsi="Arial" w:cs="Arial"/>
          <w:b/>
          <w:color w:val="auto"/>
          <w:szCs w:val="22"/>
        </w:rPr>
      </w:pPr>
      <w:r w:rsidRPr="005B2470">
        <w:rPr>
          <w:rFonts w:ascii="Arial" w:hAnsi="Arial" w:cs="Arial"/>
          <w:b/>
          <w:color w:val="auto"/>
          <w:szCs w:val="22"/>
        </w:rPr>
        <w:t>(b)       Non-EU regulated clubs</w:t>
      </w:r>
    </w:p>
    <w:p w:rsidR="00525B45" w:rsidRPr="005B2470" w:rsidRDefault="00525B45" w:rsidP="006C1E80">
      <w:pPr>
        <w:pStyle w:val="Body1"/>
        <w:spacing w:after="0"/>
        <w:jc w:val="both"/>
        <w:rPr>
          <w:rFonts w:ascii="Arial" w:hAnsi="Arial" w:cs="Arial"/>
          <w:color w:val="auto"/>
          <w:szCs w:val="22"/>
        </w:rPr>
      </w:pPr>
    </w:p>
    <w:p w:rsidR="00525B45" w:rsidRPr="005B2470" w:rsidRDefault="00525B45" w:rsidP="006C1E80">
      <w:pPr>
        <w:pStyle w:val="Body1"/>
        <w:spacing w:after="0"/>
        <w:jc w:val="both"/>
        <w:rPr>
          <w:rFonts w:ascii="Arial" w:hAnsi="Arial" w:cs="Arial"/>
          <w:color w:val="auto"/>
          <w:szCs w:val="22"/>
        </w:rPr>
      </w:pPr>
      <w:r w:rsidRPr="005B2470">
        <w:rPr>
          <w:rFonts w:ascii="Arial" w:hAnsi="Arial" w:cs="Arial"/>
          <w:color w:val="auto"/>
          <w:szCs w:val="22"/>
        </w:rPr>
        <w:t xml:space="preserve">The International Group clubs which are not EU regulated will not be directly subject to the insurance prohibitions contained in the Regulation. </w:t>
      </w:r>
    </w:p>
    <w:p w:rsidR="00525B45" w:rsidRPr="005B2470" w:rsidRDefault="00525B45" w:rsidP="006C1E80">
      <w:pPr>
        <w:pStyle w:val="Body1"/>
        <w:spacing w:after="0"/>
        <w:jc w:val="both"/>
        <w:rPr>
          <w:rFonts w:ascii="Arial" w:hAnsi="Arial" w:cs="Arial"/>
          <w:color w:val="auto"/>
          <w:szCs w:val="22"/>
        </w:rPr>
      </w:pPr>
    </w:p>
    <w:p w:rsidR="00525B45" w:rsidRPr="005B2470" w:rsidRDefault="00525B45" w:rsidP="006F506E">
      <w:pPr>
        <w:pStyle w:val="Body1"/>
        <w:spacing w:after="0"/>
        <w:jc w:val="both"/>
        <w:rPr>
          <w:rFonts w:ascii="Arial" w:hAnsi="Arial" w:cs="Arial"/>
          <w:color w:val="auto"/>
          <w:szCs w:val="22"/>
        </w:rPr>
      </w:pPr>
      <w:r w:rsidRPr="005B2470">
        <w:rPr>
          <w:rFonts w:ascii="Arial" w:hAnsi="Arial" w:cs="Arial"/>
          <w:color w:val="auto"/>
          <w:szCs w:val="22"/>
        </w:rPr>
        <w:t>However</w:t>
      </w:r>
      <w:r w:rsidR="00DA25AB" w:rsidRPr="005B2470">
        <w:rPr>
          <w:rFonts w:ascii="Arial" w:hAnsi="Arial" w:cs="Arial"/>
          <w:color w:val="auto"/>
          <w:szCs w:val="22"/>
        </w:rPr>
        <w:t>,</w:t>
      </w:r>
      <w:r w:rsidRPr="005B2470">
        <w:rPr>
          <w:rFonts w:ascii="Arial" w:hAnsi="Arial" w:cs="Arial"/>
          <w:color w:val="auto"/>
          <w:szCs w:val="22"/>
        </w:rPr>
        <w:t xml:space="preserve"> the non-EU clubs</w:t>
      </w:r>
      <w:r w:rsidR="00730113" w:rsidRPr="005B2470">
        <w:rPr>
          <w:rFonts w:ascii="Arial" w:hAnsi="Arial" w:cs="Arial"/>
          <w:color w:val="auto"/>
          <w:szCs w:val="22"/>
        </w:rPr>
        <w:t>’</w:t>
      </w:r>
      <w:r w:rsidRPr="005B2470">
        <w:rPr>
          <w:rFonts w:ascii="Arial" w:hAnsi="Arial" w:cs="Arial"/>
          <w:color w:val="auto"/>
          <w:szCs w:val="22"/>
        </w:rPr>
        <w:t xml:space="preserve"> rights of recovery under the International Group pooling arrangements from clubs which are EU regulated will be impaired, and rights of recovery</w:t>
      </w:r>
      <w:r w:rsidR="00DA25AB" w:rsidRPr="005B2470">
        <w:rPr>
          <w:rFonts w:ascii="Arial" w:hAnsi="Arial" w:cs="Arial"/>
          <w:color w:val="auto"/>
          <w:szCs w:val="22"/>
        </w:rPr>
        <w:t xml:space="preserve"> </w:t>
      </w:r>
      <w:r w:rsidRPr="005B2470">
        <w:rPr>
          <w:rFonts w:ascii="Arial" w:hAnsi="Arial" w:cs="Arial"/>
          <w:color w:val="auto"/>
          <w:szCs w:val="22"/>
        </w:rPr>
        <w:t xml:space="preserve">under the International </w:t>
      </w:r>
      <w:r w:rsidRPr="005B2470">
        <w:rPr>
          <w:rFonts w:ascii="Arial" w:hAnsi="Arial" w:cs="Arial"/>
          <w:color w:val="auto"/>
          <w:szCs w:val="22"/>
        </w:rPr>
        <w:lastRenderedPageBreak/>
        <w:t>Group Reinsurance Contract and other reinsurances taken out for the benefit of the clubs</w:t>
      </w:r>
      <w:r w:rsidR="00730113" w:rsidRPr="005B2470">
        <w:rPr>
          <w:rFonts w:ascii="Arial" w:hAnsi="Arial" w:cs="Arial"/>
          <w:color w:val="auto"/>
          <w:szCs w:val="22"/>
        </w:rPr>
        <w:t>’</w:t>
      </w:r>
      <w:r w:rsidRPr="005B2470">
        <w:rPr>
          <w:rFonts w:ascii="Arial" w:hAnsi="Arial" w:cs="Arial"/>
          <w:color w:val="auto"/>
          <w:szCs w:val="22"/>
        </w:rPr>
        <w:t xml:space="preserve"> members will also be impaired. </w:t>
      </w:r>
      <w:r w:rsidR="004F692A" w:rsidRPr="005B2470">
        <w:rPr>
          <w:rFonts w:ascii="Arial" w:hAnsi="Arial" w:cs="Arial"/>
          <w:color w:val="auto"/>
          <w:szCs w:val="22"/>
        </w:rPr>
        <w:t xml:space="preserve"> This is because the EU clubs and any EU based participant in the International Group Reinsurance Contract will be subject to the sanctions, which will prohibit payment out by those entities to the non-EU club.  As a result, t</w:t>
      </w:r>
      <w:r w:rsidRPr="005B2470">
        <w:rPr>
          <w:rFonts w:ascii="Arial" w:hAnsi="Arial" w:cs="Arial"/>
          <w:color w:val="auto"/>
          <w:szCs w:val="22"/>
        </w:rPr>
        <w:t xml:space="preserve">he non-EU regulated International Group clubs have incorporated provisions in their rules to exclude cover where, as a result of sanctions measures, the pool and/or reinsurers are themselves subject to prohibitions on cover/payment. </w:t>
      </w:r>
    </w:p>
    <w:p w:rsidR="00663AE1" w:rsidRPr="005B2470" w:rsidRDefault="00663AE1" w:rsidP="006F506E">
      <w:pPr>
        <w:pStyle w:val="Body1"/>
        <w:spacing w:after="0"/>
        <w:jc w:val="both"/>
        <w:rPr>
          <w:rFonts w:ascii="Arial" w:hAnsi="Arial" w:cs="Arial"/>
          <w:b/>
          <w:color w:val="auto"/>
          <w:szCs w:val="22"/>
        </w:rPr>
      </w:pPr>
    </w:p>
    <w:p w:rsidR="00525B45" w:rsidRPr="005B2470" w:rsidRDefault="009C3555" w:rsidP="006F506E">
      <w:pPr>
        <w:pStyle w:val="Body1"/>
        <w:spacing w:after="0"/>
        <w:jc w:val="both"/>
        <w:rPr>
          <w:rFonts w:ascii="Arial" w:hAnsi="Arial" w:cs="Arial"/>
          <w:b/>
          <w:color w:val="auto"/>
          <w:szCs w:val="22"/>
        </w:rPr>
      </w:pPr>
      <w:r w:rsidRPr="005B2470">
        <w:rPr>
          <w:rFonts w:ascii="Arial" w:hAnsi="Arial" w:cs="Arial"/>
          <w:b/>
          <w:color w:val="auto"/>
          <w:szCs w:val="22"/>
        </w:rPr>
        <w:t>6</w:t>
      </w:r>
      <w:r w:rsidR="00525B45" w:rsidRPr="005B2470">
        <w:rPr>
          <w:rFonts w:ascii="Arial" w:hAnsi="Arial" w:cs="Arial"/>
          <w:b/>
          <w:color w:val="auto"/>
          <w:szCs w:val="22"/>
        </w:rPr>
        <w:t>. Bunker</w:t>
      </w:r>
      <w:r w:rsidR="00DA25AB" w:rsidRPr="005B2470">
        <w:rPr>
          <w:rFonts w:ascii="Arial" w:hAnsi="Arial" w:cs="Arial"/>
          <w:b/>
          <w:color w:val="auto"/>
          <w:szCs w:val="22"/>
        </w:rPr>
        <w:t xml:space="preserve">s </w:t>
      </w:r>
    </w:p>
    <w:p w:rsidR="002910AE" w:rsidRPr="005B2470" w:rsidRDefault="002910AE" w:rsidP="006F506E">
      <w:pPr>
        <w:pStyle w:val="Body1"/>
        <w:spacing w:after="0"/>
        <w:jc w:val="both"/>
        <w:rPr>
          <w:rFonts w:ascii="Arial" w:hAnsi="Arial" w:cs="Arial"/>
          <w:color w:val="auto"/>
          <w:szCs w:val="22"/>
        </w:rPr>
      </w:pPr>
    </w:p>
    <w:p w:rsidR="00525B45" w:rsidRPr="005B2470" w:rsidRDefault="00525B45" w:rsidP="006F506E">
      <w:pPr>
        <w:pStyle w:val="Body1"/>
        <w:spacing w:after="0"/>
        <w:jc w:val="both"/>
        <w:rPr>
          <w:rFonts w:ascii="Arial" w:hAnsi="Arial" w:cs="Arial"/>
          <w:color w:val="auto"/>
          <w:szCs w:val="22"/>
        </w:rPr>
      </w:pPr>
      <w:r w:rsidRPr="005B2470">
        <w:rPr>
          <w:rFonts w:ascii="Arial" w:hAnsi="Arial" w:cs="Arial"/>
          <w:color w:val="auto"/>
          <w:szCs w:val="22"/>
        </w:rPr>
        <w:t>Although the provisions of the Regulation do not expressly extend the prohibitions on transportation and insurance to oil or petroleum products used as ship</w:t>
      </w:r>
      <w:r w:rsidR="00F5481B" w:rsidRPr="005B2470">
        <w:rPr>
          <w:rFonts w:ascii="Arial" w:hAnsi="Arial" w:cs="Arial"/>
          <w:color w:val="auto"/>
          <w:szCs w:val="22"/>
        </w:rPr>
        <w:t>’</w:t>
      </w:r>
      <w:r w:rsidRPr="005B2470">
        <w:rPr>
          <w:rFonts w:ascii="Arial" w:hAnsi="Arial" w:cs="Arial"/>
          <w:color w:val="auto"/>
          <w:szCs w:val="22"/>
        </w:rPr>
        <w:t>s bunker fuel or to lube oils, the generic descriptions</w:t>
      </w:r>
      <w:r w:rsidR="00DA25AB" w:rsidRPr="005B2470">
        <w:rPr>
          <w:rFonts w:ascii="Arial" w:hAnsi="Arial" w:cs="Arial"/>
          <w:color w:val="auto"/>
          <w:szCs w:val="22"/>
        </w:rPr>
        <w:t xml:space="preserve"> of</w:t>
      </w:r>
      <w:r w:rsidRPr="005B2470">
        <w:rPr>
          <w:rFonts w:ascii="Arial" w:hAnsi="Arial" w:cs="Arial"/>
          <w:color w:val="auto"/>
          <w:szCs w:val="22"/>
        </w:rPr>
        <w:t xml:space="preserve"> oil and petroleum products could include bunker fuels and lube oils</w:t>
      </w:r>
      <w:r w:rsidR="00730113" w:rsidRPr="005B2470">
        <w:rPr>
          <w:rFonts w:ascii="Arial" w:hAnsi="Arial" w:cs="Arial"/>
          <w:color w:val="auto"/>
          <w:szCs w:val="22"/>
        </w:rPr>
        <w:t>. To date</w:t>
      </w:r>
      <w:r w:rsidR="00FE26B7" w:rsidRPr="005B2470">
        <w:rPr>
          <w:rFonts w:ascii="Arial" w:hAnsi="Arial" w:cs="Arial"/>
          <w:color w:val="auto"/>
          <w:szCs w:val="22"/>
        </w:rPr>
        <w:t>, based on the advice received from the UK’s Treasury Department,</w:t>
      </w:r>
      <w:r w:rsidR="00730113" w:rsidRPr="005B2470">
        <w:rPr>
          <w:rFonts w:ascii="Arial" w:hAnsi="Arial" w:cs="Arial"/>
          <w:color w:val="auto"/>
          <w:szCs w:val="22"/>
        </w:rPr>
        <w:t xml:space="preserve"> </w:t>
      </w:r>
      <w:r w:rsidR="002C46C2" w:rsidRPr="005B2470">
        <w:rPr>
          <w:rFonts w:ascii="Arial" w:hAnsi="Arial" w:cs="Arial"/>
          <w:color w:val="auto"/>
          <w:szCs w:val="22"/>
        </w:rPr>
        <w:t xml:space="preserve"> </w:t>
      </w:r>
      <w:proofErr w:type="spellStart"/>
      <w:r w:rsidR="00730113" w:rsidRPr="005B2470">
        <w:rPr>
          <w:rFonts w:ascii="Arial" w:hAnsi="Arial" w:cs="Arial"/>
          <w:color w:val="auto"/>
          <w:szCs w:val="22"/>
        </w:rPr>
        <w:t>s</w:t>
      </w:r>
      <w:r w:rsidRPr="005B2470">
        <w:rPr>
          <w:rFonts w:ascii="Arial" w:hAnsi="Arial" w:cs="Arial"/>
          <w:color w:val="auto"/>
          <w:szCs w:val="22"/>
        </w:rPr>
        <w:t>hipowners</w:t>
      </w:r>
      <w:proofErr w:type="spellEnd"/>
      <w:r w:rsidRPr="005B2470">
        <w:rPr>
          <w:rFonts w:ascii="Arial" w:hAnsi="Arial" w:cs="Arial"/>
          <w:color w:val="auto"/>
          <w:szCs w:val="22"/>
        </w:rPr>
        <w:t xml:space="preserve"> have  been advised to exercise diligence </w:t>
      </w:r>
      <w:r w:rsidR="00730113" w:rsidRPr="005B2470">
        <w:rPr>
          <w:rFonts w:ascii="Arial" w:hAnsi="Arial" w:cs="Arial"/>
          <w:color w:val="auto"/>
          <w:szCs w:val="22"/>
        </w:rPr>
        <w:t xml:space="preserve">e.g. </w:t>
      </w:r>
      <w:r w:rsidRPr="005B2470">
        <w:rPr>
          <w:rFonts w:ascii="Arial" w:hAnsi="Arial" w:cs="Arial"/>
          <w:color w:val="auto"/>
          <w:szCs w:val="22"/>
        </w:rPr>
        <w:t>to make enquiries regarding the origin of bunker fuel and</w:t>
      </w:r>
      <w:r w:rsidR="00730113" w:rsidRPr="005B2470">
        <w:rPr>
          <w:rFonts w:ascii="Arial" w:hAnsi="Arial" w:cs="Arial"/>
          <w:color w:val="auto"/>
          <w:szCs w:val="22"/>
        </w:rPr>
        <w:t xml:space="preserve"> lube</w:t>
      </w:r>
      <w:r w:rsidRPr="005B2470">
        <w:rPr>
          <w:rFonts w:ascii="Arial" w:hAnsi="Arial" w:cs="Arial"/>
          <w:color w:val="auto"/>
          <w:szCs w:val="22"/>
        </w:rPr>
        <w:t xml:space="preserve"> oil supplied to their vessels and to avoid stemming Iranian fuels and oils.</w:t>
      </w:r>
    </w:p>
    <w:p w:rsidR="00525B45" w:rsidRPr="005B2470" w:rsidRDefault="00525B45" w:rsidP="006F506E">
      <w:pPr>
        <w:pStyle w:val="Body1"/>
        <w:spacing w:after="0"/>
        <w:jc w:val="both"/>
        <w:rPr>
          <w:rFonts w:ascii="Arial" w:hAnsi="Arial" w:cs="Arial"/>
          <w:color w:val="auto"/>
          <w:szCs w:val="22"/>
        </w:rPr>
      </w:pPr>
    </w:p>
    <w:p w:rsidR="00525B45" w:rsidRPr="005B2470" w:rsidRDefault="00730113" w:rsidP="006F506E">
      <w:pPr>
        <w:pStyle w:val="Body1"/>
        <w:spacing w:after="0"/>
        <w:jc w:val="both"/>
        <w:rPr>
          <w:rFonts w:ascii="Arial" w:hAnsi="Arial" w:cs="Arial"/>
          <w:color w:val="auto"/>
          <w:szCs w:val="22"/>
        </w:rPr>
      </w:pPr>
      <w:r w:rsidRPr="005B2470">
        <w:rPr>
          <w:rFonts w:ascii="Arial" w:hAnsi="Arial" w:cs="Arial"/>
          <w:color w:val="auto"/>
          <w:szCs w:val="22"/>
        </w:rPr>
        <w:t xml:space="preserve">In </w:t>
      </w:r>
      <w:r w:rsidR="00663AE1" w:rsidRPr="005B2470">
        <w:rPr>
          <w:rFonts w:ascii="Arial" w:hAnsi="Arial" w:cs="Arial"/>
          <w:color w:val="auto"/>
          <w:szCs w:val="22"/>
        </w:rPr>
        <w:t xml:space="preserve">response to requests for </w:t>
      </w:r>
      <w:r w:rsidR="005B6567" w:rsidRPr="005B2470">
        <w:rPr>
          <w:rFonts w:ascii="Arial" w:hAnsi="Arial" w:cs="Arial"/>
          <w:color w:val="auto"/>
          <w:szCs w:val="22"/>
        </w:rPr>
        <w:t xml:space="preserve">further </w:t>
      </w:r>
      <w:r w:rsidR="00663AE1" w:rsidRPr="005B2470">
        <w:rPr>
          <w:rFonts w:ascii="Arial" w:hAnsi="Arial" w:cs="Arial"/>
          <w:color w:val="auto"/>
          <w:szCs w:val="22"/>
        </w:rPr>
        <w:t>clarification</w:t>
      </w:r>
      <w:r w:rsidR="00864516" w:rsidRPr="005B2470">
        <w:rPr>
          <w:rFonts w:ascii="Arial" w:hAnsi="Arial" w:cs="Arial"/>
          <w:color w:val="auto"/>
          <w:szCs w:val="22"/>
        </w:rPr>
        <w:t xml:space="preserve"> </w:t>
      </w:r>
      <w:r w:rsidR="00A6760D" w:rsidRPr="005B2470">
        <w:rPr>
          <w:rFonts w:ascii="Arial" w:hAnsi="Arial" w:cs="Arial"/>
          <w:color w:val="auto"/>
          <w:szCs w:val="22"/>
        </w:rPr>
        <w:t>made to</w:t>
      </w:r>
      <w:r w:rsidR="00525B45" w:rsidRPr="005B2470">
        <w:rPr>
          <w:rFonts w:ascii="Arial" w:hAnsi="Arial" w:cs="Arial"/>
          <w:color w:val="auto"/>
          <w:szCs w:val="22"/>
        </w:rPr>
        <w:t xml:space="preserve"> the UK’s Competent Authorities, they have </w:t>
      </w:r>
      <w:r w:rsidR="00C0744B" w:rsidRPr="005B2470">
        <w:rPr>
          <w:rFonts w:ascii="Arial" w:hAnsi="Arial" w:cs="Arial"/>
          <w:color w:val="auto"/>
          <w:szCs w:val="22"/>
        </w:rPr>
        <w:t xml:space="preserve">now </w:t>
      </w:r>
      <w:r w:rsidRPr="005B2470">
        <w:rPr>
          <w:rFonts w:ascii="Arial" w:hAnsi="Arial" w:cs="Arial"/>
          <w:color w:val="auto"/>
          <w:szCs w:val="22"/>
        </w:rPr>
        <w:t>indicated</w:t>
      </w:r>
      <w:r w:rsidR="00525B45" w:rsidRPr="005B2470">
        <w:rPr>
          <w:rFonts w:ascii="Arial" w:hAnsi="Arial" w:cs="Arial"/>
          <w:color w:val="auto"/>
          <w:szCs w:val="22"/>
        </w:rPr>
        <w:t xml:space="preserve"> their view that fuel oil and lube oils used for the purposes of propulsion of the ship and the operation of the vessel</w:t>
      </w:r>
      <w:r w:rsidR="00F5481B" w:rsidRPr="005B2470">
        <w:rPr>
          <w:rFonts w:ascii="Arial" w:hAnsi="Arial" w:cs="Arial"/>
          <w:color w:val="auto"/>
          <w:szCs w:val="22"/>
        </w:rPr>
        <w:t>’</w:t>
      </w:r>
      <w:r w:rsidR="00525B45" w:rsidRPr="005B2470">
        <w:rPr>
          <w:rFonts w:ascii="Arial" w:hAnsi="Arial" w:cs="Arial"/>
          <w:color w:val="auto"/>
          <w:szCs w:val="22"/>
        </w:rPr>
        <w:t xml:space="preserve">s machinery </w:t>
      </w:r>
      <w:r w:rsidR="00D3170D" w:rsidRPr="005B2470">
        <w:rPr>
          <w:rFonts w:ascii="Arial" w:hAnsi="Arial" w:cs="Arial"/>
          <w:color w:val="auto"/>
          <w:szCs w:val="22"/>
        </w:rPr>
        <w:t xml:space="preserve">(i.e. not fuel oil or lube oils carried as cargo) </w:t>
      </w:r>
      <w:r w:rsidR="00525B45" w:rsidRPr="005B2470">
        <w:rPr>
          <w:rFonts w:ascii="Arial" w:hAnsi="Arial" w:cs="Arial"/>
          <w:color w:val="auto"/>
          <w:szCs w:val="22"/>
        </w:rPr>
        <w:t xml:space="preserve">would not </w:t>
      </w:r>
      <w:r w:rsidR="00F5481B" w:rsidRPr="005B2470">
        <w:rPr>
          <w:rFonts w:ascii="Arial" w:hAnsi="Arial" w:cs="Arial"/>
          <w:color w:val="auto"/>
          <w:szCs w:val="22"/>
        </w:rPr>
        <w:t>trigger</w:t>
      </w:r>
      <w:r w:rsidR="002C46C2" w:rsidRPr="005B2470">
        <w:rPr>
          <w:rFonts w:ascii="Arial" w:hAnsi="Arial" w:cs="Arial"/>
          <w:color w:val="auto"/>
          <w:szCs w:val="22"/>
        </w:rPr>
        <w:t xml:space="preserve"> </w:t>
      </w:r>
      <w:r w:rsidR="00525B45" w:rsidRPr="005B2470">
        <w:rPr>
          <w:rFonts w:ascii="Arial" w:hAnsi="Arial" w:cs="Arial"/>
          <w:color w:val="auto"/>
          <w:szCs w:val="22"/>
        </w:rPr>
        <w:t>the prohibitions contained in the Regulation.</w:t>
      </w:r>
      <w:r w:rsidR="007B2D3B" w:rsidRPr="005B2470">
        <w:rPr>
          <w:rFonts w:ascii="Arial" w:hAnsi="Arial" w:cs="Arial"/>
          <w:color w:val="auto"/>
          <w:szCs w:val="22"/>
        </w:rPr>
        <w:t xml:space="preserve"> This interpretation would be consistent with the presumed intention behind the express exemption (contained in Annex IV) from the prohibitions in relation to aviation fuel of Iranian origin. </w:t>
      </w:r>
      <w:r w:rsidR="00FE26B7" w:rsidRPr="005B2470">
        <w:rPr>
          <w:rFonts w:ascii="Arial" w:hAnsi="Arial" w:cs="Arial"/>
          <w:color w:val="auto"/>
          <w:szCs w:val="22"/>
        </w:rPr>
        <w:t>The UK’s views are not legally binding</w:t>
      </w:r>
      <w:r w:rsidR="00C0744B" w:rsidRPr="005B2470">
        <w:rPr>
          <w:rFonts w:ascii="Arial" w:hAnsi="Arial" w:cs="Arial"/>
          <w:color w:val="auto"/>
          <w:szCs w:val="22"/>
        </w:rPr>
        <w:t>, however,</w:t>
      </w:r>
      <w:r w:rsidR="00FE26B7" w:rsidRPr="005B2470">
        <w:rPr>
          <w:rFonts w:ascii="Arial" w:hAnsi="Arial" w:cs="Arial"/>
          <w:color w:val="auto"/>
          <w:szCs w:val="22"/>
        </w:rPr>
        <w:t xml:space="preserve"> and it should particularly be borne in mind that they may not be shared by the Competent Authorities of other EU Member States</w:t>
      </w:r>
      <w:r w:rsidR="00C0744B" w:rsidRPr="005B2470">
        <w:rPr>
          <w:rFonts w:ascii="Arial" w:hAnsi="Arial" w:cs="Arial"/>
          <w:color w:val="auto"/>
          <w:szCs w:val="22"/>
        </w:rPr>
        <w:t>.</w:t>
      </w:r>
      <w:r w:rsidR="00FE26B7" w:rsidRPr="005B2470">
        <w:rPr>
          <w:rFonts w:ascii="Arial" w:hAnsi="Arial" w:cs="Arial"/>
          <w:color w:val="auto"/>
          <w:szCs w:val="22"/>
        </w:rPr>
        <w:t xml:space="preserve"> </w:t>
      </w:r>
    </w:p>
    <w:p w:rsidR="008B495D" w:rsidRPr="005B2470" w:rsidRDefault="008B495D" w:rsidP="006F506E">
      <w:pPr>
        <w:pStyle w:val="Body1"/>
        <w:spacing w:after="0"/>
        <w:jc w:val="both"/>
        <w:rPr>
          <w:rFonts w:ascii="Arial" w:hAnsi="Arial" w:cs="Arial"/>
          <w:color w:val="auto"/>
          <w:szCs w:val="22"/>
        </w:rPr>
      </w:pPr>
    </w:p>
    <w:p w:rsidR="00DA25AB" w:rsidRPr="005B2470" w:rsidRDefault="00525B45" w:rsidP="006F506E">
      <w:pPr>
        <w:pStyle w:val="Body1"/>
        <w:spacing w:after="0"/>
        <w:jc w:val="both"/>
        <w:rPr>
          <w:rFonts w:ascii="Arial" w:hAnsi="Arial" w:cs="Arial"/>
          <w:color w:val="auto"/>
          <w:szCs w:val="22"/>
        </w:rPr>
      </w:pPr>
      <w:r w:rsidRPr="005B2470">
        <w:rPr>
          <w:rFonts w:ascii="Arial" w:hAnsi="Arial" w:cs="Arial"/>
          <w:color w:val="auto"/>
          <w:szCs w:val="22"/>
        </w:rPr>
        <w:t>It is</w:t>
      </w:r>
      <w:r w:rsidR="00E55948" w:rsidRPr="005B2470">
        <w:rPr>
          <w:rFonts w:ascii="Arial" w:hAnsi="Arial" w:cs="Arial"/>
          <w:color w:val="auto"/>
          <w:szCs w:val="22"/>
        </w:rPr>
        <w:t>,</w:t>
      </w:r>
      <w:r w:rsidRPr="005B2470">
        <w:rPr>
          <w:rFonts w:ascii="Arial" w:hAnsi="Arial" w:cs="Arial"/>
          <w:color w:val="auto"/>
          <w:szCs w:val="22"/>
        </w:rPr>
        <w:t xml:space="preserve"> </w:t>
      </w:r>
      <w:r w:rsidR="002910AE" w:rsidRPr="005B2470">
        <w:rPr>
          <w:rFonts w:ascii="Arial" w:hAnsi="Arial" w:cs="Arial"/>
          <w:color w:val="auto"/>
          <w:szCs w:val="22"/>
        </w:rPr>
        <w:t>therefore</w:t>
      </w:r>
      <w:r w:rsidR="00E55948" w:rsidRPr="005B2470">
        <w:rPr>
          <w:rFonts w:ascii="Arial" w:hAnsi="Arial" w:cs="Arial"/>
          <w:color w:val="auto"/>
          <w:szCs w:val="22"/>
        </w:rPr>
        <w:t>,</w:t>
      </w:r>
      <w:r w:rsidRPr="005B2470">
        <w:rPr>
          <w:rFonts w:ascii="Arial" w:hAnsi="Arial" w:cs="Arial"/>
          <w:color w:val="auto"/>
          <w:szCs w:val="22"/>
        </w:rPr>
        <w:t xml:space="preserve"> recommended that </w:t>
      </w:r>
      <w:proofErr w:type="spellStart"/>
      <w:r w:rsidRPr="005B2470">
        <w:rPr>
          <w:rFonts w:ascii="Arial" w:hAnsi="Arial" w:cs="Arial"/>
          <w:color w:val="auto"/>
          <w:szCs w:val="22"/>
        </w:rPr>
        <w:t>shipowners</w:t>
      </w:r>
      <w:proofErr w:type="spellEnd"/>
      <w:r w:rsidRPr="005B2470">
        <w:rPr>
          <w:rFonts w:ascii="Arial" w:hAnsi="Arial" w:cs="Arial"/>
          <w:color w:val="auto"/>
          <w:szCs w:val="22"/>
        </w:rPr>
        <w:t xml:space="preserve"> should continue to exercise </w:t>
      </w:r>
      <w:r w:rsidR="00FE26B7" w:rsidRPr="005B2470">
        <w:rPr>
          <w:rFonts w:ascii="Arial" w:hAnsi="Arial" w:cs="Arial"/>
          <w:color w:val="auto"/>
          <w:szCs w:val="22"/>
        </w:rPr>
        <w:t xml:space="preserve">due </w:t>
      </w:r>
      <w:r w:rsidRPr="005B2470">
        <w:rPr>
          <w:rFonts w:ascii="Arial" w:hAnsi="Arial" w:cs="Arial"/>
          <w:color w:val="auto"/>
          <w:szCs w:val="22"/>
        </w:rPr>
        <w:t>diligence in identifying the source of bunker fuel stems and lube oil where there are grounds to suspect that these may be of Iranian origin and where possible to avoid Iranian stems</w:t>
      </w:r>
      <w:r w:rsidR="002910AE" w:rsidRPr="005B2470">
        <w:rPr>
          <w:rFonts w:ascii="Arial" w:hAnsi="Arial" w:cs="Arial"/>
          <w:color w:val="auto"/>
          <w:szCs w:val="22"/>
        </w:rPr>
        <w:t>.</w:t>
      </w:r>
    </w:p>
    <w:p w:rsidR="008B495D" w:rsidRPr="005B2470" w:rsidRDefault="008B495D" w:rsidP="006F506E">
      <w:pPr>
        <w:pStyle w:val="Body1"/>
        <w:spacing w:after="0"/>
        <w:jc w:val="both"/>
        <w:rPr>
          <w:rFonts w:ascii="Arial" w:hAnsi="Arial" w:cs="Arial"/>
          <w:b/>
          <w:color w:val="auto"/>
          <w:szCs w:val="22"/>
        </w:rPr>
      </w:pPr>
    </w:p>
    <w:p w:rsidR="00525B45" w:rsidRPr="005B2470" w:rsidRDefault="009C3555" w:rsidP="006F506E">
      <w:pPr>
        <w:pStyle w:val="Body1"/>
        <w:spacing w:after="0"/>
        <w:jc w:val="both"/>
        <w:rPr>
          <w:rFonts w:ascii="Arial" w:hAnsi="Arial" w:cs="Arial"/>
          <w:color w:val="auto"/>
          <w:szCs w:val="22"/>
        </w:rPr>
      </w:pPr>
      <w:r w:rsidRPr="005B2470">
        <w:rPr>
          <w:rFonts w:ascii="Arial" w:hAnsi="Arial" w:cs="Arial"/>
          <w:b/>
          <w:color w:val="auto"/>
          <w:szCs w:val="22"/>
        </w:rPr>
        <w:t>7</w:t>
      </w:r>
      <w:r w:rsidR="00525B45" w:rsidRPr="005B2470">
        <w:rPr>
          <w:rFonts w:ascii="Arial" w:hAnsi="Arial" w:cs="Arial"/>
          <w:b/>
          <w:color w:val="auto"/>
          <w:szCs w:val="22"/>
        </w:rPr>
        <w:t>. Cargo residues and Slops</w:t>
      </w:r>
    </w:p>
    <w:p w:rsidR="00525B45" w:rsidRPr="005B2470" w:rsidRDefault="00525B45" w:rsidP="006F506E">
      <w:pPr>
        <w:pStyle w:val="Body1"/>
        <w:spacing w:after="0"/>
        <w:jc w:val="both"/>
        <w:rPr>
          <w:rFonts w:ascii="Arial" w:hAnsi="Arial" w:cs="Arial"/>
          <w:color w:val="auto"/>
          <w:szCs w:val="22"/>
        </w:rPr>
      </w:pPr>
    </w:p>
    <w:p w:rsidR="001137C2" w:rsidRPr="005B2470" w:rsidRDefault="00525B45" w:rsidP="006F506E">
      <w:pPr>
        <w:pStyle w:val="Body1"/>
        <w:spacing w:after="0"/>
        <w:jc w:val="both"/>
        <w:rPr>
          <w:rFonts w:ascii="Arial" w:hAnsi="Arial" w:cs="Arial"/>
          <w:color w:val="auto"/>
          <w:szCs w:val="22"/>
        </w:rPr>
      </w:pPr>
      <w:r w:rsidRPr="005B2470">
        <w:rPr>
          <w:rFonts w:ascii="Arial" w:hAnsi="Arial" w:cs="Arial"/>
          <w:color w:val="auto"/>
          <w:szCs w:val="22"/>
        </w:rPr>
        <w:t>In response to enquiries the UK Competent Authorities have confirmed that the presence on board of Iranian oil or petroleum product residues in cargo tanks or in slops would not contravene the Regulation.</w:t>
      </w:r>
    </w:p>
    <w:p w:rsidR="001137C2" w:rsidRPr="005B2470" w:rsidRDefault="001137C2" w:rsidP="006F506E">
      <w:pPr>
        <w:pStyle w:val="Body1"/>
        <w:spacing w:after="0"/>
        <w:jc w:val="both"/>
        <w:rPr>
          <w:rFonts w:ascii="Arial" w:hAnsi="Arial" w:cs="Arial"/>
          <w:color w:val="auto"/>
          <w:szCs w:val="22"/>
        </w:rPr>
      </w:pPr>
    </w:p>
    <w:p w:rsidR="001137C2" w:rsidRPr="005B2470" w:rsidRDefault="009C3555" w:rsidP="00D3738A">
      <w:pPr>
        <w:pStyle w:val="Body1"/>
        <w:spacing w:after="0"/>
        <w:jc w:val="both"/>
        <w:rPr>
          <w:rFonts w:ascii="Arial" w:hAnsi="Arial" w:cs="Arial"/>
          <w:b/>
          <w:color w:val="auto"/>
          <w:szCs w:val="22"/>
        </w:rPr>
      </w:pPr>
      <w:r w:rsidRPr="005B2470">
        <w:rPr>
          <w:rFonts w:ascii="Arial" w:hAnsi="Arial" w:cs="Arial"/>
          <w:b/>
          <w:color w:val="auto"/>
          <w:szCs w:val="22"/>
        </w:rPr>
        <w:t>8</w:t>
      </w:r>
      <w:r w:rsidR="001137C2" w:rsidRPr="005B2470">
        <w:rPr>
          <w:rFonts w:ascii="Arial" w:hAnsi="Arial" w:cs="Arial"/>
          <w:b/>
          <w:color w:val="auto"/>
          <w:szCs w:val="22"/>
        </w:rPr>
        <w:t xml:space="preserve">.  </w:t>
      </w:r>
      <w:r w:rsidR="00164F99" w:rsidRPr="005B2470">
        <w:rPr>
          <w:rFonts w:ascii="Arial" w:hAnsi="Arial" w:cs="Arial"/>
          <w:b/>
          <w:color w:val="auto"/>
          <w:szCs w:val="22"/>
        </w:rPr>
        <w:t>Containerized</w:t>
      </w:r>
      <w:r w:rsidR="001137C2" w:rsidRPr="005B2470">
        <w:rPr>
          <w:rFonts w:ascii="Arial" w:hAnsi="Arial" w:cs="Arial"/>
          <w:b/>
          <w:color w:val="auto"/>
          <w:szCs w:val="22"/>
        </w:rPr>
        <w:t xml:space="preserve"> cargo (e.g. fuel oil</w:t>
      </w:r>
      <w:r w:rsidR="00C569E3" w:rsidRPr="005B2470">
        <w:rPr>
          <w:rFonts w:ascii="Arial" w:hAnsi="Arial" w:cs="Arial"/>
          <w:b/>
          <w:color w:val="auto"/>
          <w:szCs w:val="22"/>
        </w:rPr>
        <w:t xml:space="preserve"> in flexi-bags)</w:t>
      </w:r>
    </w:p>
    <w:p w:rsidR="00D3738A" w:rsidRPr="005B2470" w:rsidRDefault="00D3738A" w:rsidP="00D3738A">
      <w:pPr>
        <w:pStyle w:val="Body1"/>
        <w:spacing w:after="0"/>
        <w:jc w:val="both"/>
        <w:rPr>
          <w:rFonts w:ascii="Arial" w:hAnsi="Arial" w:cs="Arial"/>
          <w:color w:val="auto"/>
          <w:szCs w:val="22"/>
        </w:rPr>
      </w:pPr>
    </w:p>
    <w:p w:rsidR="00D3738A" w:rsidRPr="005B2470" w:rsidRDefault="00C569E3" w:rsidP="00610ECA">
      <w:pPr>
        <w:pStyle w:val="aa"/>
        <w:jc w:val="both"/>
        <w:rPr>
          <w:rFonts w:ascii="Arial" w:hAnsi="Arial" w:cs="Arial"/>
          <w:sz w:val="22"/>
          <w:szCs w:val="22"/>
        </w:rPr>
      </w:pPr>
      <w:r w:rsidRPr="005B2470">
        <w:rPr>
          <w:rFonts w:ascii="Arial" w:hAnsi="Arial" w:cs="Arial"/>
          <w:sz w:val="22"/>
          <w:szCs w:val="22"/>
        </w:rPr>
        <w:t>See FAQ 4</w:t>
      </w:r>
      <w:r w:rsidR="00164F99" w:rsidRPr="005B2470">
        <w:rPr>
          <w:rFonts w:ascii="Arial" w:hAnsi="Arial" w:cs="Arial"/>
          <w:sz w:val="22"/>
          <w:szCs w:val="22"/>
        </w:rPr>
        <w:t xml:space="preserve"> a</w:t>
      </w:r>
      <w:r w:rsidRPr="005B2470">
        <w:rPr>
          <w:rFonts w:ascii="Arial" w:hAnsi="Arial" w:cs="Arial"/>
          <w:sz w:val="22"/>
          <w:szCs w:val="22"/>
        </w:rPr>
        <w:t>bove</w:t>
      </w:r>
      <w:r w:rsidR="00164F99" w:rsidRPr="005B2470">
        <w:rPr>
          <w:rFonts w:ascii="Arial" w:hAnsi="Arial" w:cs="Arial"/>
          <w:sz w:val="22"/>
          <w:szCs w:val="22"/>
        </w:rPr>
        <w:t xml:space="preserve">. </w:t>
      </w:r>
      <w:proofErr w:type="spellStart"/>
      <w:r w:rsidR="00164F99" w:rsidRPr="005B2470">
        <w:rPr>
          <w:rFonts w:ascii="Arial" w:hAnsi="Arial" w:cs="Arial"/>
          <w:sz w:val="22"/>
          <w:szCs w:val="22"/>
        </w:rPr>
        <w:t>Shipowners</w:t>
      </w:r>
      <w:proofErr w:type="spellEnd"/>
      <w:r w:rsidR="00164F99" w:rsidRPr="005B2470">
        <w:rPr>
          <w:rFonts w:ascii="Arial" w:hAnsi="Arial" w:cs="Arial"/>
          <w:sz w:val="22"/>
          <w:szCs w:val="22"/>
        </w:rPr>
        <w:t xml:space="preserve"> are recommended to check </w:t>
      </w:r>
      <w:r w:rsidR="002910AE" w:rsidRPr="005B2470">
        <w:rPr>
          <w:rFonts w:ascii="Arial" w:hAnsi="Arial" w:cs="Arial"/>
          <w:sz w:val="22"/>
          <w:szCs w:val="22"/>
        </w:rPr>
        <w:t xml:space="preserve">the </w:t>
      </w:r>
      <w:r w:rsidR="00164F99" w:rsidRPr="005B2470">
        <w:rPr>
          <w:rFonts w:ascii="Arial" w:hAnsi="Arial" w:cs="Arial"/>
          <w:sz w:val="22"/>
          <w:szCs w:val="22"/>
        </w:rPr>
        <w:t xml:space="preserve">details </w:t>
      </w:r>
      <w:r w:rsidR="002910AE" w:rsidRPr="005B2470">
        <w:rPr>
          <w:rFonts w:ascii="Arial" w:hAnsi="Arial" w:cs="Arial"/>
          <w:sz w:val="22"/>
          <w:szCs w:val="22"/>
        </w:rPr>
        <w:t>provided</w:t>
      </w:r>
      <w:r w:rsidR="00C0744B" w:rsidRPr="005B2470">
        <w:rPr>
          <w:rFonts w:ascii="Arial" w:hAnsi="Arial" w:cs="Arial"/>
          <w:sz w:val="22"/>
          <w:szCs w:val="22"/>
        </w:rPr>
        <w:t xml:space="preserve"> </w:t>
      </w:r>
      <w:r w:rsidR="00164F99" w:rsidRPr="005B2470">
        <w:rPr>
          <w:rFonts w:ascii="Arial" w:hAnsi="Arial" w:cs="Arial"/>
          <w:sz w:val="22"/>
          <w:szCs w:val="22"/>
        </w:rPr>
        <w:t>by shippers</w:t>
      </w:r>
      <w:r w:rsidR="00C0744B" w:rsidRPr="005B2470">
        <w:rPr>
          <w:rFonts w:ascii="Arial" w:hAnsi="Arial" w:cs="Arial"/>
          <w:sz w:val="22"/>
          <w:szCs w:val="22"/>
        </w:rPr>
        <w:t xml:space="preserve"> and</w:t>
      </w:r>
      <w:r w:rsidR="008B495D" w:rsidRPr="005B2470">
        <w:rPr>
          <w:rFonts w:ascii="Arial" w:hAnsi="Arial" w:cs="Arial"/>
          <w:sz w:val="22"/>
          <w:szCs w:val="22"/>
        </w:rPr>
        <w:t xml:space="preserve"> </w:t>
      </w:r>
      <w:r w:rsidR="00164F99" w:rsidRPr="005B2470">
        <w:rPr>
          <w:rFonts w:ascii="Arial" w:hAnsi="Arial" w:cs="Arial"/>
          <w:sz w:val="22"/>
          <w:szCs w:val="22"/>
        </w:rPr>
        <w:t>their agents in respect of containerised cargo to ensure those cargoes (as declared) are not subject to sanctions. Particular attention should be given to containerised cargo originating from Iran.</w:t>
      </w:r>
      <w:r w:rsidR="00D3738A" w:rsidRPr="005B2470">
        <w:rPr>
          <w:rFonts w:ascii="Arial" w:hAnsi="Arial" w:cs="Arial"/>
          <w:sz w:val="22"/>
          <w:szCs w:val="22"/>
        </w:rPr>
        <w:t xml:space="preserve"> </w:t>
      </w:r>
      <w:r w:rsidR="00864516" w:rsidRPr="005B2470">
        <w:rPr>
          <w:rFonts w:ascii="Arial" w:hAnsi="Arial" w:cs="Arial"/>
          <w:sz w:val="22"/>
          <w:szCs w:val="22"/>
        </w:rPr>
        <w:t xml:space="preserve"> It has not been suggested </w:t>
      </w:r>
      <w:r w:rsidR="00164F99" w:rsidRPr="005B2470">
        <w:rPr>
          <w:rFonts w:ascii="Arial" w:hAnsi="Arial" w:cs="Arial"/>
          <w:sz w:val="22"/>
          <w:szCs w:val="22"/>
        </w:rPr>
        <w:t xml:space="preserve">that </w:t>
      </w:r>
      <w:proofErr w:type="spellStart"/>
      <w:r w:rsidR="00164F99" w:rsidRPr="005B2470">
        <w:rPr>
          <w:rFonts w:ascii="Arial" w:hAnsi="Arial" w:cs="Arial"/>
          <w:sz w:val="22"/>
          <w:szCs w:val="22"/>
        </w:rPr>
        <w:t>shipowners</w:t>
      </w:r>
      <w:proofErr w:type="spellEnd"/>
      <w:r w:rsidR="00164F99" w:rsidRPr="005B2470">
        <w:rPr>
          <w:rFonts w:ascii="Arial" w:hAnsi="Arial" w:cs="Arial"/>
          <w:sz w:val="22"/>
          <w:szCs w:val="22"/>
        </w:rPr>
        <w:t xml:space="preserve"> have a positive duty to open and inspect every container originating from Iran to verify their contents</w:t>
      </w:r>
      <w:r w:rsidR="008B495D" w:rsidRPr="005B2470">
        <w:rPr>
          <w:rFonts w:ascii="Arial" w:hAnsi="Arial" w:cs="Arial"/>
          <w:sz w:val="22"/>
          <w:szCs w:val="22"/>
        </w:rPr>
        <w:t xml:space="preserve">, but it is recommended that </w:t>
      </w:r>
      <w:proofErr w:type="spellStart"/>
      <w:r w:rsidR="008B495D" w:rsidRPr="005B2470">
        <w:rPr>
          <w:rFonts w:ascii="Arial" w:hAnsi="Arial" w:cs="Arial"/>
          <w:sz w:val="22"/>
          <w:szCs w:val="22"/>
        </w:rPr>
        <w:t>shipowners</w:t>
      </w:r>
      <w:proofErr w:type="spellEnd"/>
      <w:r w:rsidR="008B495D" w:rsidRPr="005B2470">
        <w:rPr>
          <w:rFonts w:ascii="Arial" w:hAnsi="Arial" w:cs="Arial"/>
          <w:sz w:val="22"/>
          <w:szCs w:val="22"/>
        </w:rPr>
        <w:t xml:space="preserve"> exercise due diligence when dealing with Iranian cargoes and entities</w:t>
      </w:r>
      <w:r w:rsidR="00164F99" w:rsidRPr="005B2470">
        <w:rPr>
          <w:rFonts w:ascii="Arial" w:hAnsi="Arial" w:cs="Arial"/>
          <w:sz w:val="22"/>
          <w:szCs w:val="22"/>
        </w:rPr>
        <w:t xml:space="preserve">. </w:t>
      </w:r>
    </w:p>
    <w:p w:rsidR="00525B45" w:rsidRPr="005B2470" w:rsidRDefault="00525B45" w:rsidP="006F506E">
      <w:pPr>
        <w:pStyle w:val="Body1"/>
        <w:spacing w:after="0"/>
        <w:jc w:val="both"/>
        <w:rPr>
          <w:rFonts w:ascii="Arial" w:hAnsi="Arial" w:cs="Arial"/>
          <w:color w:val="auto"/>
          <w:szCs w:val="22"/>
        </w:rPr>
      </w:pPr>
    </w:p>
    <w:p w:rsidR="00525B45" w:rsidRPr="0087475A" w:rsidRDefault="00525B45">
      <w:pPr>
        <w:rPr>
          <w:rFonts w:ascii="Arial" w:hAnsi="Arial" w:cs="Arial"/>
          <w:lang w:val="en-US" w:eastAsia="en-GB"/>
        </w:rPr>
      </w:pPr>
      <w:bookmarkStart w:id="0" w:name="_GoBack"/>
      <w:r w:rsidRPr="0087475A">
        <w:rPr>
          <w:rFonts w:ascii="Arial" w:hAnsi="Arial" w:cs="Arial"/>
          <w:lang w:val="en-US" w:eastAsia="en-GB"/>
        </w:rPr>
        <w:t>August 2012</w:t>
      </w:r>
      <w:bookmarkEnd w:id="0"/>
    </w:p>
    <w:sectPr w:rsidR="00525B45" w:rsidRPr="0087475A" w:rsidSect="00F76C28">
      <w:footerReference w:type="default" r:id="rId8"/>
      <w:headerReference w:type="first" r:id="rId9"/>
      <w:footerReference w:type="first" r:id="rId10"/>
      <w:pgSz w:w="11906" w:h="16838"/>
      <w:pgMar w:top="851" w:right="1134" w:bottom="567" w:left="1134"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F5E" w:rsidRDefault="00DE0F5E" w:rsidP="00022717">
      <w:pPr>
        <w:spacing w:after="0" w:line="240" w:lineRule="auto"/>
      </w:pPr>
      <w:r>
        <w:separator/>
      </w:r>
    </w:p>
  </w:endnote>
  <w:endnote w:type="continuationSeparator" w:id="0">
    <w:p w:rsidR="00DE0F5E" w:rsidRDefault="00DE0F5E" w:rsidP="0002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CA" w:rsidRDefault="00DD2F8B">
    <w:pPr>
      <w:pStyle w:val="a5"/>
      <w:jc w:val="center"/>
    </w:pPr>
    <w:r>
      <w:fldChar w:fldCharType="begin"/>
    </w:r>
    <w:r w:rsidR="00610ECA">
      <w:instrText xml:space="preserve"> PAGE   \* MERGEFORMAT </w:instrText>
    </w:r>
    <w:r>
      <w:fldChar w:fldCharType="separate"/>
    </w:r>
    <w:r w:rsidR="0087475A">
      <w:rPr>
        <w:noProof/>
      </w:rPr>
      <w:t>4</w:t>
    </w:r>
    <w:r>
      <w:rPr>
        <w:noProof/>
      </w:rPr>
      <w:fldChar w:fldCharType="end"/>
    </w:r>
  </w:p>
  <w:p w:rsidR="00610ECA" w:rsidRDefault="00610E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767153"/>
      <w:docPartObj>
        <w:docPartGallery w:val="Page Numbers (Bottom of Page)"/>
        <w:docPartUnique/>
      </w:docPartObj>
    </w:sdtPr>
    <w:sdtEndPr/>
    <w:sdtContent>
      <w:p w:rsidR="00554DF9" w:rsidRDefault="00554DF9">
        <w:pPr>
          <w:pStyle w:val="a5"/>
          <w:jc w:val="center"/>
        </w:pPr>
        <w:r>
          <w:fldChar w:fldCharType="begin"/>
        </w:r>
        <w:r>
          <w:instrText>PAGE   \* MERGEFORMAT</w:instrText>
        </w:r>
        <w:r>
          <w:fldChar w:fldCharType="separate"/>
        </w:r>
        <w:r w:rsidR="005B2470" w:rsidRPr="005B2470">
          <w:rPr>
            <w:noProof/>
            <w:lang w:val="ja-JP" w:eastAsia="ja-JP"/>
          </w:rPr>
          <w:t>1</w:t>
        </w:r>
        <w:r>
          <w:fldChar w:fldCharType="end"/>
        </w:r>
      </w:p>
    </w:sdtContent>
  </w:sdt>
  <w:p w:rsidR="00554DF9" w:rsidRDefault="00554D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F5E" w:rsidRDefault="00DE0F5E" w:rsidP="00022717">
      <w:pPr>
        <w:spacing w:after="0" w:line="240" w:lineRule="auto"/>
      </w:pPr>
      <w:r>
        <w:separator/>
      </w:r>
    </w:p>
  </w:footnote>
  <w:footnote w:type="continuationSeparator" w:id="0">
    <w:p w:rsidR="00DE0F5E" w:rsidRDefault="00DE0F5E" w:rsidP="00022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DF9" w:rsidRPr="00554DF9" w:rsidRDefault="00554DF9" w:rsidP="00554DF9">
    <w:pPr>
      <w:pStyle w:val="a3"/>
      <w:ind w:rightChars="-300" w:right="-660"/>
      <w:jc w:val="right"/>
      <w:rPr>
        <w:rFonts w:eastAsia="ＭＳ ゴシック"/>
        <w:sz w:val="32"/>
      </w:rPr>
    </w:pPr>
    <w:r w:rsidRPr="00554DF9">
      <w:rPr>
        <w:rFonts w:eastAsia="ＭＳ ゴシック" w:hint="eastAsia"/>
        <w:sz w:val="32"/>
        <w:lang w:eastAsia="ja-JP"/>
      </w:rPr>
      <w:t>Attachment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C6A"/>
    <w:multiLevelType w:val="hybridMultilevel"/>
    <w:tmpl w:val="B344B9D2"/>
    <w:lvl w:ilvl="0" w:tplc="9CAE49AA">
      <w:start w:val="1"/>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D3C414D"/>
    <w:multiLevelType w:val="hybridMultilevel"/>
    <w:tmpl w:val="1B82B488"/>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29743B1"/>
    <w:multiLevelType w:val="hybridMultilevel"/>
    <w:tmpl w:val="3816FA88"/>
    <w:lvl w:ilvl="0" w:tplc="9828D5BC">
      <w:start w:val="2"/>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42C64E5"/>
    <w:multiLevelType w:val="hybridMultilevel"/>
    <w:tmpl w:val="B58AF972"/>
    <w:lvl w:ilvl="0" w:tplc="434AD730">
      <w:start w:val="1"/>
      <w:numFmt w:val="lowerRoman"/>
      <w:lvlText w:val="(%1)"/>
      <w:lvlJc w:val="left"/>
      <w:pPr>
        <w:ind w:left="1080" w:hanging="720"/>
      </w:pPr>
      <w:rPr>
        <w:rFonts w:eastAsia="Times New Roman"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7CB15E3"/>
    <w:multiLevelType w:val="hybridMultilevel"/>
    <w:tmpl w:val="0E7C2ED4"/>
    <w:lvl w:ilvl="0" w:tplc="A6C8B97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42C2126"/>
    <w:multiLevelType w:val="hybridMultilevel"/>
    <w:tmpl w:val="36B63AD4"/>
    <w:lvl w:ilvl="0" w:tplc="07CA311A">
      <w:start w:val="2"/>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37203C0"/>
    <w:multiLevelType w:val="hybridMultilevel"/>
    <w:tmpl w:val="867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2D685C"/>
    <w:multiLevelType w:val="hybridMultilevel"/>
    <w:tmpl w:val="2A102AC8"/>
    <w:lvl w:ilvl="0" w:tplc="EFF06F1E">
      <w:start w:val="1"/>
      <w:numFmt w:val="upp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755059C5"/>
    <w:multiLevelType w:val="hybridMultilevel"/>
    <w:tmpl w:val="DAA4678E"/>
    <w:lvl w:ilvl="0" w:tplc="2F6A6CF8">
      <w:start w:val="2"/>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C4E20A8"/>
    <w:multiLevelType w:val="hybridMultilevel"/>
    <w:tmpl w:val="8A209604"/>
    <w:lvl w:ilvl="0" w:tplc="0A2A702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0"/>
  </w:num>
  <w:num w:numId="4">
    <w:abstractNumId w:val="4"/>
  </w:num>
  <w:num w:numId="5">
    <w:abstractNumId w:val="1"/>
  </w:num>
  <w:num w:numId="6">
    <w:abstractNumId w:val="7"/>
  </w:num>
  <w:num w:numId="7">
    <w:abstractNumId w:val="2"/>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E24B4C4-47D9-4AFD-A1E3-EA45EACFBC18}"/>
    <w:docVar w:name="dgnword-eventsink" w:val="204419448"/>
  </w:docVars>
  <w:rsids>
    <w:rsidRoot w:val="00022717"/>
    <w:rsid w:val="00005C11"/>
    <w:rsid w:val="0000658A"/>
    <w:rsid w:val="00006BE0"/>
    <w:rsid w:val="00022717"/>
    <w:rsid w:val="00022BDE"/>
    <w:rsid w:val="000B3089"/>
    <w:rsid w:val="000C77D7"/>
    <w:rsid w:val="001137C2"/>
    <w:rsid w:val="00164F99"/>
    <w:rsid w:val="00165944"/>
    <w:rsid w:val="001A4434"/>
    <w:rsid w:val="001C5C19"/>
    <w:rsid w:val="001C7AC6"/>
    <w:rsid w:val="001D0C00"/>
    <w:rsid w:val="001E007E"/>
    <w:rsid w:val="001F315D"/>
    <w:rsid w:val="00200AF3"/>
    <w:rsid w:val="00225863"/>
    <w:rsid w:val="002467BF"/>
    <w:rsid w:val="002538AA"/>
    <w:rsid w:val="002910AE"/>
    <w:rsid w:val="002921D1"/>
    <w:rsid w:val="00293E19"/>
    <w:rsid w:val="0029792E"/>
    <w:rsid w:val="002A43D9"/>
    <w:rsid w:val="002B6BAA"/>
    <w:rsid w:val="002C46C2"/>
    <w:rsid w:val="002F1169"/>
    <w:rsid w:val="002F385B"/>
    <w:rsid w:val="002F454E"/>
    <w:rsid w:val="00313C94"/>
    <w:rsid w:val="00320C8E"/>
    <w:rsid w:val="00344B0C"/>
    <w:rsid w:val="003605BF"/>
    <w:rsid w:val="0036539D"/>
    <w:rsid w:val="00397982"/>
    <w:rsid w:val="003A284E"/>
    <w:rsid w:val="003A3306"/>
    <w:rsid w:val="003A4F65"/>
    <w:rsid w:val="003A5C22"/>
    <w:rsid w:val="003B5816"/>
    <w:rsid w:val="003C5E05"/>
    <w:rsid w:val="003E40D8"/>
    <w:rsid w:val="003F030D"/>
    <w:rsid w:val="003F34F1"/>
    <w:rsid w:val="003F700B"/>
    <w:rsid w:val="00403D9E"/>
    <w:rsid w:val="00423F10"/>
    <w:rsid w:val="004251BD"/>
    <w:rsid w:val="00432C96"/>
    <w:rsid w:val="004A5557"/>
    <w:rsid w:val="004C73B3"/>
    <w:rsid w:val="004D746E"/>
    <w:rsid w:val="004E0EF4"/>
    <w:rsid w:val="004F13D5"/>
    <w:rsid w:val="004F5454"/>
    <w:rsid w:val="004F692A"/>
    <w:rsid w:val="005017D6"/>
    <w:rsid w:val="00502A2C"/>
    <w:rsid w:val="00503119"/>
    <w:rsid w:val="005141BB"/>
    <w:rsid w:val="0052173E"/>
    <w:rsid w:val="00525B45"/>
    <w:rsid w:val="00527679"/>
    <w:rsid w:val="005514D7"/>
    <w:rsid w:val="00554DF9"/>
    <w:rsid w:val="00557F48"/>
    <w:rsid w:val="00566351"/>
    <w:rsid w:val="00577047"/>
    <w:rsid w:val="00590808"/>
    <w:rsid w:val="00593EA1"/>
    <w:rsid w:val="005A2E05"/>
    <w:rsid w:val="005B13B5"/>
    <w:rsid w:val="005B2470"/>
    <w:rsid w:val="005B6567"/>
    <w:rsid w:val="005B7634"/>
    <w:rsid w:val="005C0D51"/>
    <w:rsid w:val="005C0F42"/>
    <w:rsid w:val="005E470D"/>
    <w:rsid w:val="00601404"/>
    <w:rsid w:val="00610ECA"/>
    <w:rsid w:val="0064427D"/>
    <w:rsid w:val="00645B87"/>
    <w:rsid w:val="00663AE1"/>
    <w:rsid w:val="00666192"/>
    <w:rsid w:val="00666491"/>
    <w:rsid w:val="006834D7"/>
    <w:rsid w:val="006C1E80"/>
    <w:rsid w:val="006C6897"/>
    <w:rsid w:val="006E262F"/>
    <w:rsid w:val="006E443F"/>
    <w:rsid w:val="006F506E"/>
    <w:rsid w:val="006F61A2"/>
    <w:rsid w:val="00721ABD"/>
    <w:rsid w:val="00730113"/>
    <w:rsid w:val="007747AA"/>
    <w:rsid w:val="00784F48"/>
    <w:rsid w:val="007A645C"/>
    <w:rsid w:val="007B2D3B"/>
    <w:rsid w:val="007C7FFB"/>
    <w:rsid w:val="007D02C4"/>
    <w:rsid w:val="00803DFC"/>
    <w:rsid w:val="00805112"/>
    <w:rsid w:val="00817B8A"/>
    <w:rsid w:val="008364BC"/>
    <w:rsid w:val="00841EA6"/>
    <w:rsid w:val="0084493E"/>
    <w:rsid w:val="00864516"/>
    <w:rsid w:val="00865A24"/>
    <w:rsid w:val="00867FD4"/>
    <w:rsid w:val="0087475A"/>
    <w:rsid w:val="00884FC6"/>
    <w:rsid w:val="00897248"/>
    <w:rsid w:val="008B477C"/>
    <w:rsid w:val="008B495D"/>
    <w:rsid w:val="008D4937"/>
    <w:rsid w:val="008D6EBA"/>
    <w:rsid w:val="008F40EF"/>
    <w:rsid w:val="0090528F"/>
    <w:rsid w:val="009455C9"/>
    <w:rsid w:val="00964C56"/>
    <w:rsid w:val="009730B8"/>
    <w:rsid w:val="00974825"/>
    <w:rsid w:val="00981A4E"/>
    <w:rsid w:val="00991F1A"/>
    <w:rsid w:val="009C3555"/>
    <w:rsid w:val="00A235B5"/>
    <w:rsid w:val="00A274D7"/>
    <w:rsid w:val="00A31F29"/>
    <w:rsid w:val="00A51981"/>
    <w:rsid w:val="00A53404"/>
    <w:rsid w:val="00A66716"/>
    <w:rsid w:val="00A6760D"/>
    <w:rsid w:val="00A727A1"/>
    <w:rsid w:val="00AA1A13"/>
    <w:rsid w:val="00AA5336"/>
    <w:rsid w:val="00AB5D78"/>
    <w:rsid w:val="00AE1FB9"/>
    <w:rsid w:val="00AE6A45"/>
    <w:rsid w:val="00AF34C7"/>
    <w:rsid w:val="00AF7633"/>
    <w:rsid w:val="00B006A6"/>
    <w:rsid w:val="00B15328"/>
    <w:rsid w:val="00B27572"/>
    <w:rsid w:val="00B32586"/>
    <w:rsid w:val="00B32BF0"/>
    <w:rsid w:val="00B354A5"/>
    <w:rsid w:val="00B44165"/>
    <w:rsid w:val="00B75015"/>
    <w:rsid w:val="00BC1218"/>
    <w:rsid w:val="00BC24CD"/>
    <w:rsid w:val="00BC72A7"/>
    <w:rsid w:val="00C0744B"/>
    <w:rsid w:val="00C524F6"/>
    <w:rsid w:val="00C5432E"/>
    <w:rsid w:val="00C569E3"/>
    <w:rsid w:val="00C6100D"/>
    <w:rsid w:val="00C71200"/>
    <w:rsid w:val="00C75EC0"/>
    <w:rsid w:val="00CD0C99"/>
    <w:rsid w:val="00CF75C8"/>
    <w:rsid w:val="00CF7F29"/>
    <w:rsid w:val="00D21FBA"/>
    <w:rsid w:val="00D3170D"/>
    <w:rsid w:val="00D3738A"/>
    <w:rsid w:val="00DA25AB"/>
    <w:rsid w:val="00DD2F8B"/>
    <w:rsid w:val="00DE0F5E"/>
    <w:rsid w:val="00DE61DC"/>
    <w:rsid w:val="00E0092F"/>
    <w:rsid w:val="00E078AE"/>
    <w:rsid w:val="00E24597"/>
    <w:rsid w:val="00E344A3"/>
    <w:rsid w:val="00E5015C"/>
    <w:rsid w:val="00E55948"/>
    <w:rsid w:val="00E6161D"/>
    <w:rsid w:val="00E80B31"/>
    <w:rsid w:val="00E9545C"/>
    <w:rsid w:val="00EA1D2E"/>
    <w:rsid w:val="00EB1555"/>
    <w:rsid w:val="00EC7524"/>
    <w:rsid w:val="00ED2B71"/>
    <w:rsid w:val="00F00AB9"/>
    <w:rsid w:val="00F236FE"/>
    <w:rsid w:val="00F5481B"/>
    <w:rsid w:val="00F67CBD"/>
    <w:rsid w:val="00F76C28"/>
    <w:rsid w:val="00F81607"/>
    <w:rsid w:val="00F952B7"/>
    <w:rsid w:val="00FA70DD"/>
    <w:rsid w:val="00FC0485"/>
    <w:rsid w:val="00FD197E"/>
    <w:rsid w:val="00FE0769"/>
    <w:rsid w:val="00FE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6FE"/>
    <w:pPr>
      <w:spacing w:after="200" w:line="27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1">
    <w:name w:val="Body 1"/>
    <w:uiPriority w:val="99"/>
    <w:rsid w:val="00022717"/>
    <w:pPr>
      <w:spacing w:after="200" w:line="276" w:lineRule="auto"/>
      <w:outlineLvl w:val="0"/>
    </w:pPr>
    <w:rPr>
      <w:rFonts w:ascii="Helvetica" w:hAnsi="Helvetica"/>
      <w:color w:val="000000"/>
      <w:szCs w:val="20"/>
      <w:lang w:eastAsia="en-GB"/>
    </w:rPr>
  </w:style>
  <w:style w:type="paragraph" w:customStyle="1" w:styleId="CM4">
    <w:name w:val="CM4"/>
    <w:basedOn w:val="a"/>
    <w:next w:val="a"/>
    <w:uiPriority w:val="99"/>
    <w:rsid w:val="00022717"/>
    <w:pPr>
      <w:autoSpaceDE w:val="0"/>
      <w:autoSpaceDN w:val="0"/>
      <w:adjustRightInd w:val="0"/>
      <w:spacing w:after="0" w:line="240" w:lineRule="auto"/>
    </w:pPr>
    <w:rPr>
      <w:rFonts w:ascii="EUAlbertina" w:eastAsia="Times New Roman" w:hAnsi="EUAlbertina"/>
      <w:sz w:val="24"/>
      <w:szCs w:val="24"/>
      <w:lang w:eastAsia="en-GB"/>
    </w:rPr>
  </w:style>
  <w:style w:type="paragraph" w:styleId="a3">
    <w:name w:val="header"/>
    <w:basedOn w:val="a"/>
    <w:link w:val="a4"/>
    <w:uiPriority w:val="99"/>
    <w:rsid w:val="00022717"/>
    <w:pPr>
      <w:tabs>
        <w:tab w:val="center" w:pos="4513"/>
        <w:tab w:val="right" w:pos="9026"/>
      </w:tabs>
      <w:spacing w:after="0" w:line="240" w:lineRule="auto"/>
    </w:pPr>
  </w:style>
  <w:style w:type="character" w:customStyle="1" w:styleId="a4">
    <w:name w:val="ヘッダー (文字)"/>
    <w:basedOn w:val="a0"/>
    <w:link w:val="a3"/>
    <w:uiPriority w:val="99"/>
    <w:locked/>
    <w:rsid w:val="00022717"/>
    <w:rPr>
      <w:rFonts w:cs="Times New Roman"/>
    </w:rPr>
  </w:style>
  <w:style w:type="paragraph" w:styleId="a5">
    <w:name w:val="footer"/>
    <w:basedOn w:val="a"/>
    <w:link w:val="a6"/>
    <w:uiPriority w:val="99"/>
    <w:rsid w:val="00022717"/>
    <w:pPr>
      <w:tabs>
        <w:tab w:val="center" w:pos="4513"/>
        <w:tab w:val="right" w:pos="9026"/>
      </w:tabs>
      <w:spacing w:after="0" w:line="240" w:lineRule="auto"/>
    </w:pPr>
  </w:style>
  <w:style w:type="character" w:customStyle="1" w:styleId="a6">
    <w:name w:val="フッター (文字)"/>
    <w:basedOn w:val="a0"/>
    <w:link w:val="a5"/>
    <w:uiPriority w:val="99"/>
    <w:locked/>
    <w:rsid w:val="00022717"/>
    <w:rPr>
      <w:rFonts w:cs="Times New Roman"/>
    </w:rPr>
  </w:style>
  <w:style w:type="paragraph" w:styleId="a7">
    <w:name w:val="Balloon Text"/>
    <w:basedOn w:val="a"/>
    <w:link w:val="a8"/>
    <w:uiPriority w:val="99"/>
    <w:semiHidden/>
    <w:rsid w:val="00FA70DD"/>
    <w:pPr>
      <w:spacing w:after="0" w:line="240" w:lineRule="auto"/>
    </w:pPr>
    <w:rPr>
      <w:rFonts w:ascii="Tahoma" w:hAnsi="Tahoma" w:cs="Tahoma"/>
      <w:sz w:val="16"/>
      <w:szCs w:val="16"/>
    </w:rPr>
  </w:style>
  <w:style w:type="character" w:customStyle="1" w:styleId="a8">
    <w:name w:val="吹き出し (文字)"/>
    <w:basedOn w:val="a0"/>
    <w:link w:val="a7"/>
    <w:uiPriority w:val="99"/>
    <w:semiHidden/>
    <w:locked/>
    <w:rsid w:val="00FA70DD"/>
    <w:rPr>
      <w:rFonts w:ascii="Tahoma" w:hAnsi="Tahoma" w:cs="Tahoma"/>
      <w:sz w:val="16"/>
      <w:szCs w:val="16"/>
    </w:rPr>
  </w:style>
  <w:style w:type="paragraph" w:styleId="a9">
    <w:name w:val="List Paragraph"/>
    <w:basedOn w:val="a"/>
    <w:uiPriority w:val="99"/>
    <w:qFormat/>
    <w:rsid w:val="00E24597"/>
    <w:pPr>
      <w:ind w:left="720"/>
      <w:contextualSpacing/>
    </w:pPr>
  </w:style>
  <w:style w:type="paragraph" w:styleId="aa">
    <w:name w:val="Plain Text"/>
    <w:basedOn w:val="a"/>
    <w:link w:val="ab"/>
    <w:uiPriority w:val="99"/>
    <w:unhideWhenUsed/>
    <w:rsid w:val="00D3738A"/>
    <w:pPr>
      <w:spacing w:after="0" w:line="240" w:lineRule="auto"/>
    </w:pPr>
    <w:rPr>
      <w:rFonts w:ascii="Consolas" w:eastAsiaTheme="minorHAnsi" w:hAnsi="Consolas"/>
      <w:sz w:val="21"/>
      <w:szCs w:val="21"/>
      <w:lang w:eastAsia="en-GB"/>
    </w:rPr>
  </w:style>
  <w:style w:type="character" w:customStyle="1" w:styleId="ab">
    <w:name w:val="書式なし (文字)"/>
    <w:basedOn w:val="a0"/>
    <w:link w:val="aa"/>
    <w:uiPriority w:val="99"/>
    <w:rsid w:val="00D3738A"/>
    <w:rPr>
      <w:rFonts w:ascii="Consolas" w:eastAsiaTheme="minorHAnsi" w:hAnsi="Consolas"/>
      <w:sz w:val="21"/>
      <w:szCs w:val="21"/>
      <w:lang w:val="en-GB" w:eastAsia="en-GB"/>
    </w:rPr>
  </w:style>
  <w:style w:type="character" w:styleId="ac">
    <w:name w:val="annotation reference"/>
    <w:basedOn w:val="a0"/>
    <w:uiPriority w:val="99"/>
    <w:semiHidden/>
    <w:unhideWhenUsed/>
    <w:rsid w:val="0084493E"/>
    <w:rPr>
      <w:sz w:val="16"/>
      <w:szCs w:val="16"/>
    </w:rPr>
  </w:style>
  <w:style w:type="paragraph" w:styleId="ad">
    <w:name w:val="annotation text"/>
    <w:basedOn w:val="a"/>
    <w:link w:val="ae"/>
    <w:uiPriority w:val="99"/>
    <w:semiHidden/>
    <w:unhideWhenUsed/>
    <w:rsid w:val="0084493E"/>
    <w:pPr>
      <w:spacing w:line="240" w:lineRule="auto"/>
    </w:pPr>
    <w:rPr>
      <w:sz w:val="20"/>
      <w:szCs w:val="20"/>
    </w:rPr>
  </w:style>
  <w:style w:type="character" w:customStyle="1" w:styleId="ae">
    <w:name w:val="コメント文字列 (文字)"/>
    <w:basedOn w:val="a0"/>
    <w:link w:val="ad"/>
    <w:uiPriority w:val="99"/>
    <w:semiHidden/>
    <w:rsid w:val="0084493E"/>
    <w:rPr>
      <w:sz w:val="20"/>
      <w:szCs w:val="20"/>
      <w:lang w:val="en-GB"/>
    </w:rPr>
  </w:style>
  <w:style w:type="paragraph" w:styleId="af">
    <w:name w:val="annotation subject"/>
    <w:basedOn w:val="ad"/>
    <w:next w:val="ad"/>
    <w:link w:val="af0"/>
    <w:uiPriority w:val="99"/>
    <w:semiHidden/>
    <w:unhideWhenUsed/>
    <w:rsid w:val="0084493E"/>
    <w:rPr>
      <w:b/>
      <w:bCs/>
    </w:rPr>
  </w:style>
  <w:style w:type="character" w:customStyle="1" w:styleId="af0">
    <w:name w:val="コメント内容 (文字)"/>
    <w:basedOn w:val="ae"/>
    <w:link w:val="af"/>
    <w:uiPriority w:val="99"/>
    <w:semiHidden/>
    <w:rsid w:val="0084493E"/>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6FE"/>
    <w:pPr>
      <w:spacing w:after="200" w:line="27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1">
    <w:name w:val="Body 1"/>
    <w:uiPriority w:val="99"/>
    <w:rsid w:val="00022717"/>
    <w:pPr>
      <w:spacing w:after="200" w:line="276" w:lineRule="auto"/>
      <w:outlineLvl w:val="0"/>
    </w:pPr>
    <w:rPr>
      <w:rFonts w:ascii="Helvetica" w:hAnsi="Helvetica"/>
      <w:color w:val="000000"/>
      <w:szCs w:val="20"/>
      <w:lang w:eastAsia="en-GB"/>
    </w:rPr>
  </w:style>
  <w:style w:type="paragraph" w:customStyle="1" w:styleId="CM4">
    <w:name w:val="CM4"/>
    <w:basedOn w:val="a"/>
    <w:next w:val="a"/>
    <w:uiPriority w:val="99"/>
    <w:rsid w:val="00022717"/>
    <w:pPr>
      <w:autoSpaceDE w:val="0"/>
      <w:autoSpaceDN w:val="0"/>
      <w:adjustRightInd w:val="0"/>
      <w:spacing w:after="0" w:line="240" w:lineRule="auto"/>
    </w:pPr>
    <w:rPr>
      <w:rFonts w:ascii="EUAlbertina" w:eastAsia="Times New Roman" w:hAnsi="EUAlbertina"/>
      <w:sz w:val="24"/>
      <w:szCs w:val="24"/>
      <w:lang w:eastAsia="en-GB"/>
    </w:rPr>
  </w:style>
  <w:style w:type="paragraph" w:styleId="a3">
    <w:name w:val="header"/>
    <w:basedOn w:val="a"/>
    <w:link w:val="a4"/>
    <w:uiPriority w:val="99"/>
    <w:rsid w:val="00022717"/>
    <w:pPr>
      <w:tabs>
        <w:tab w:val="center" w:pos="4513"/>
        <w:tab w:val="right" w:pos="9026"/>
      </w:tabs>
      <w:spacing w:after="0" w:line="240" w:lineRule="auto"/>
    </w:pPr>
  </w:style>
  <w:style w:type="character" w:customStyle="1" w:styleId="a4">
    <w:name w:val="ヘッダー (文字)"/>
    <w:basedOn w:val="a0"/>
    <w:link w:val="a3"/>
    <w:uiPriority w:val="99"/>
    <w:locked/>
    <w:rsid w:val="00022717"/>
    <w:rPr>
      <w:rFonts w:cs="Times New Roman"/>
    </w:rPr>
  </w:style>
  <w:style w:type="paragraph" w:styleId="a5">
    <w:name w:val="footer"/>
    <w:basedOn w:val="a"/>
    <w:link w:val="a6"/>
    <w:uiPriority w:val="99"/>
    <w:rsid w:val="00022717"/>
    <w:pPr>
      <w:tabs>
        <w:tab w:val="center" w:pos="4513"/>
        <w:tab w:val="right" w:pos="9026"/>
      </w:tabs>
      <w:spacing w:after="0" w:line="240" w:lineRule="auto"/>
    </w:pPr>
  </w:style>
  <w:style w:type="character" w:customStyle="1" w:styleId="a6">
    <w:name w:val="フッター (文字)"/>
    <w:basedOn w:val="a0"/>
    <w:link w:val="a5"/>
    <w:uiPriority w:val="99"/>
    <w:locked/>
    <w:rsid w:val="00022717"/>
    <w:rPr>
      <w:rFonts w:cs="Times New Roman"/>
    </w:rPr>
  </w:style>
  <w:style w:type="paragraph" w:styleId="a7">
    <w:name w:val="Balloon Text"/>
    <w:basedOn w:val="a"/>
    <w:link w:val="a8"/>
    <w:uiPriority w:val="99"/>
    <w:semiHidden/>
    <w:rsid w:val="00FA70DD"/>
    <w:pPr>
      <w:spacing w:after="0" w:line="240" w:lineRule="auto"/>
    </w:pPr>
    <w:rPr>
      <w:rFonts w:ascii="Tahoma" w:hAnsi="Tahoma" w:cs="Tahoma"/>
      <w:sz w:val="16"/>
      <w:szCs w:val="16"/>
    </w:rPr>
  </w:style>
  <w:style w:type="character" w:customStyle="1" w:styleId="a8">
    <w:name w:val="吹き出し (文字)"/>
    <w:basedOn w:val="a0"/>
    <w:link w:val="a7"/>
    <w:uiPriority w:val="99"/>
    <w:semiHidden/>
    <w:locked/>
    <w:rsid w:val="00FA70DD"/>
    <w:rPr>
      <w:rFonts w:ascii="Tahoma" w:hAnsi="Tahoma" w:cs="Tahoma"/>
      <w:sz w:val="16"/>
      <w:szCs w:val="16"/>
    </w:rPr>
  </w:style>
  <w:style w:type="paragraph" w:styleId="a9">
    <w:name w:val="List Paragraph"/>
    <w:basedOn w:val="a"/>
    <w:uiPriority w:val="99"/>
    <w:qFormat/>
    <w:rsid w:val="00E24597"/>
    <w:pPr>
      <w:ind w:left="720"/>
      <w:contextualSpacing/>
    </w:pPr>
  </w:style>
  <w:style w:type="paragraph" w:styleId="aa">
    <w:name w:val="Plain Text"/>
    <w:basedOn w:val="a"/>
    <w:link w:val="ab"/>
    <w:uiPriority w:val="99"/>
    <w:unhideWhenUsed/>
    <w:rsid w:val="00D3738A"/>
    <w:pPr>
      <w:spacing w:after="0" w:line="240" w:lineRule="auto"/>
    </w:pPr>
    <w:rPr>
      <w:rFonts w:ascii="Consolas" w:eastAsiaTheme="minorHAnsi" w:hAnsi="Consolas"/>
      <w:sz w:val="21"/>
      <w:szCs w:val="21"/>
      <w:lang w:eastAsia="en-GB"/>
    </w:rPr>
  </w:style>
  <w:style w:type="character" w:customStyle="1" w:styleId="ab">
    <w:name w:val="書式なし (文字)"/>
    <w:basedOn w:val="a0"/>
    <w:link w:val="aa"/>
    <w:uiPriority w:val="99"/>
    <w:rsid w:val="00D3738A"/>
    <w:rPr>
      <w:rFonts w:ascii="Consolas" w:eastAsiaTheme="minorHAnsi" w:hAnsi="Consolas"/>
      <w:sz w:val="21"/>
      <w:szCs w:val="21"/>
      <w:lang w:val="en-GB" w:eastAsia="en-GB"/>
    </w:rPr>
  </w:style>
  <w:style w:type="character" w:styleId="ac">
    <w:name w:val="annotation reference"/>
    <w:basedOn w:val="a0"/>
    <w:uiPriority w:val="99"/>
    <w:semiHidden/>
    <w:unhideWhenUsed/>
    <w:rsid w:val="0084493E"/>
    <w:rPr>
      <w:sz w:val="16"/>
      <w:szCs w:val="16"/>
    </w:rPr>
  </w:style>
  <w:style w:type="paragraph" w:styleId="ad">
    <w:name w:val="annotation text"/>
    <w:basedOn w:val="a"/>
    <w:link w:val="ae"/>
    <w:uiPriority w:val="99"/>
    <w:semiHidden/>
    <w:unhideWhenUsed/>
    <w:rsid w:val="0084493E"/>
    <w:pPr>
      <w:spacing w:line="240" w:lineRule="auto"/>
    </w:pPr>
    <w:rPr>
      <w:sz w:val="20"/>
      <w:szCs w:val="20"/>
    </w:rPr>
  </w:style>
  <w:style w:type="character" w:customStyle="1" w:styleId="ae">
    <w:name w:val="コメント文字列 (文字)"/>
    <w:basedOn w:val="a0"/>
    <w:link w:val="ad"/>
    <w:uiPriority w:val="99"/>
    <w:semiHidden/>
    <w:rsid w:val="0084493E"/>
    <w:rPr>
      <w:sz w:val="20"/>
      <w:szCs w:val="20"/>
      <w:lang w:val="en-GB"/>
    </w:rPr>
  </w:style>
  <w:style w:type="paragraph" w:styleId="af">
    <w:name w:val="annotation subject"/>
    <w:basedOn w:val="ad"/>
    <w:next w:val="ad"/>
    <w:link w:val="af0"/>
    <w:uiPriority w:val="99"/>
    <w:semiHidden/>
    <w:unhideWhenUsed/>
    <w:rsid w:val="0084493E"/>
    <w:rPr>
      <w:b/>
      <w:bCs/>
    </w:rPr>
  </w:style>
  <w:style w:type="character" w:customStyle="1" w:styleId="af0">
    <w:name w:val="コメント内容 (文字)"/>
    <w:basedOn w:val="ae"/>
    <w:link w:val="af"/>
    <w:uiPriority w:val="99"/>
    <w:semiHidden/>
    <w:rsid w:val="0084493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1911</Words>
  <Characters>10360</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Bardot</dc:creator>
  <cp:lastModifiedBy> </cp:lastModifiedBy>
  <cp:revision>4</cp:revision>
  <cp:lastPrinted>2012-08-17T00:58:00Z</cp:lastPrinted>
  <dcterms:created xsi:type="dcterms:W3CDTF">2012-08-17T04:04:00Z</dcterms:created>
  <dcterms:modified xsi:type="dcterms:W3CDTF">2012-08-17T04:18:00Z</dcterms:modified>
</cp:coreProperties>
</file>